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157" w:id="0"/>
    <w:bookmarkEnd w:id="0"/>
    <w:bookmarkStart w:name="f-10157-1" w:id="1"/>
    <w:p>
      <w:pPr>
        <w:pStyle w:val="Heading1"/>
      </w:pPr>
      <w:bookmarkStart w:name="h-10157-1" w:id="2"/>
      <w:r>
        <w:rPr/>
        <w:t xml:space="preserve">0341p FIELDERS SlimFlor in structural steelwork</w:t>
      </w:r>
      <w:bookmarkEnd w:id="2"/>
    </w:p>
    <w:bookmarkEnd w:id="1"/>
    <w:bookmarkStart w:name="f-10157-10157.1" w:id="3"/>
    <w:p>
      <w:pPr>
        <w:pStyle w:val="InstructionsHeading4"/>
      </w:pPr>
      <w:bookmarkStart w:name="h-10157-1015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157-t2-1" w:id="5"/>
    <w:p>
      <w:pPr>
        <w:pStyle w:val="InstructionsHeading4"/>
      </w:pPr>
      <w:bookmarkStart w:name="h-10157-t2-1" w:id="6"/>
      <w:r>
        <w:rPr/>
        <w:t xml:space="preserve">Worksection ab</w:t>
      </w:r>
      <w:r>
        <w:rPr>
          <w:i/>
        </w:rPr>
        <w:t xml:space="preserve">s</w:t>
      </w:r>
      <w:r>
        <w:rPr/>
        <w:t xml:space="preserve">tract</w:t>
      </w:r>
      <w:bookmarkEnd w:id="6"/>
    </w:p>
    <w:p>
      <w:pPr>
        <w:pStyle w:val="Instructions"/>
      </w:pPr>
      <w:r>
        <w:rPr/>
        <w:t xml:space="preserve">This branded worksection </w:t>
      </w:r>
      <w:r>
        <w:rPr>
          <w:i/>
        </w:rPr>
        <w:t xml:space="preserve">Template</w:t>
      </w:r>
      <w:r>
        <w:rPr/>
        <w:t xml:space="preserve"> is applicable to general structural steel framing in buildings, and associated structures. It includes cold-formed purlins and girts used in conjunction with structural steelwork. It covers welding, bolting, surface preparation and treatment of structural steelwork, and architecturally exposed structural steelwork (AESS). Fielders SlimFlor structural flooring system consists of an Asymmetric Steel Beam (ASB) combined with the KingFlor</w:t>
      </w:r>
      <w:r>
        <w:rPr>
          <w:vertAlign w:val="superscript"/>
        </w:rPr>
        <w:t xml:space="preserve">®</w:t>
      </w:r>
      <w:r>
        <w:rPr/>
        <w:t xml:space="preserve"> SlimDek 210 deep deck composite steel formwork for concrete slabs.</w:t>
      </w:r>
    </w:p>
    <w:bookmarkEnd w:id="5"/>
    <w:bookmarkStart w:name="f-10157-t3-1" w:id="7"/>
    <w:p>
      <w:pPr>
        <w:pStyle w:val="InstructionsHeading4"/>
      </w:pPr>
      <w:bookmarkStart w:name="h-10157-t3-1" w:id="8"/>
      <w:r>
        <w:rPr/>
        <w:t xml:space="preserve">Background</w:t>
      </w:r>
      <w:bookmarkEnd w:id="8"/>
    </w:p>
    <w:p>
      <w:pPr>
        <w:pStyle w:val="Instructions"/>
      </w:pPr>
      <w:r>
        <w:rPr/>
        <w:t xml:space="preserve">This branded worksection </w:t>
      </w:r>
      <w:r>
        <w:rPr>
          <w:i/>
        </w:rPr>
        <w:t xml:space="preserve">Template</w:t>
      </w:r>
      <w:r>
        <w:rPr/>
        <w:t xml:space="preserve"> incorporates the relevant requirements of AS/NZS 5131 (2016) and considers both the Australian Steel Institute (ASI) </w:t>
      </w:r>
      <w:r>
        <w:rPr>
          <w:i/>
        </w:rPr>
        <w:t xml:space="preserve">National structural steelwork specification</w:t>
      </w:r>
      <w:r>
        <w:rPr/>
        <w:t xml:space="preserve"> (ASI NSSS (2023)) and </w:t>
      </w:r>
      <w:r>
        <w:rPr>
          <w:i/>
        </w:rPr>
        <w:t xml:space="preserve">Structural steelwork standard drawing notes</w:t>
      </w:r>
      <w:r>
        <w:rPr/>
        <w:t xml:space="preserve"> (ASI SDN (2020)).</w:t>
      </w:r>
    </w:p>
    <w:bookmarkEnd w:id="7"/>
    <w:bookmarkStart w:name="f-1015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015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0183 Metals and prefinishes</w:t>
      </w:r>
      <w:r>
        <w:rPr/>
        <w:t xml:space="preserve">.</w:t>
      </w:r>
    </w:p>
    <w:p>
      <w:pPr>
        <w:pStyle w:val="Instructionsindent"/>
      </w:pPr>
      <w:r>
        <w:rPr>
          <w:i/>
        </w:rPr>
        <w:t xml:space="preserve">0314 Concrete in situ</w:t>
      </w:r>
      <w:r>
        <w:rPr/>
        <w:t xml:space="preserve"> for the installation of anchor bolts.</w:t>
      </w:r>
    </w:p>
    <w:p>
      <w:pPr>
        <w:pStyle w:val="Instructionsindent"/>
      </w:pPr>
      <w:r>
        <w:rPr>
          <w:i/>
        </w:rPr>
        <w:t xml:space="preserve">0342 Light steel framing</w:t>
      </w:r>
      <w:r>
        <w:rPr/>
        <w:t xml:space="preserve"> for cold-formed sections used in domestic floor, wall and roof framing.</w:t>
      </w:r>
    </w:p>
    <w:p>
      <w:pPr>
        <w:pStyle w:val="Instructionsindent"/>
      </w:pPr>
      <w:r>
        <w:rPr>
          <w:i/>
        </w:rPr>
        <w:t xml:space="preserve">0522 Partitions - framed and lined</w:t>
      </w:r>
      <w:r>
        <w:rPr/>
        <w:t xml:space="preserve"> for cold-formed sections used in partition framing.</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3"/>
    <w:bookmarkStart w:name="f-10157-10157.2" w:id="17"/>
    <w:p>
      <w:pPr>
        <w:pStyle w:val="InstructionsHeading4"/>
      </w:pPr>
      <w:bookmarkStart w:name="h-10157-10157.2" w:id="18"/>
      <w:r>
        <w:rPr/>
        <w:t xml:space="preserve">Material not provided by Fielders</w:t>
      </w:r>
      <w:bookmarkEnd w:id="18"/>
    </w:p>
    <w:p>
      <w:pPr>
        <w:pStyle w:val="Instructions"/>
      </w:pPr>
      <w:r>
        <w:rPr/>
        <w:t xml:space="preserve">This worksection includes generic material which may not be provided by the Product Partner including:</w:t>
      </w:r>
    </w:p>
    <w:p>
      <w:pPr>
        <w:pStyle w:val="Instructionsindent"/>
      </w:pPr>
      <w:r>
        <w:rPr/>
        <w:t xml:space="preserve">Structural steel, other than the ASB required for the SlimFlor system.</w:t>
      </w:r>
    </w:p>
    <w:p>
      <w:pPr>
        <w:pStyle w:val="Instructionsindent"/>
      </w:pPr>
      <w:r>
        <w:rPr/>
        <w:t xml:space="preserve">Bolts.</w:t>
      </w:r>
    </w:p>
    <w:bookmarkEnd w:id="17"/>
    <w:bookmarkStart w:name="f-10157-t7-1" w:id="19"/>
    <w:p>
      <w:pPr>
        <w:pStyle w:val="InstructionsHeading4"/>
      </w:pPr>
      <w:bookmarkStart w:name="h-1015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Refer to AS/NZS 5131 (2016) Section 4 for specification, documentation and traceability requirements.</w:t>
      </w:r>
    </w:p>
    <w:p>
      <w:pPr>
        <w:pStyle w:val="Instructionsindent"/>
      </w:pPr>
      <w:r>
        <w:rPr/>
        <w:t xml:space="preserve">If areas are subject to plastic deformation show them on the drawings. See AS 4100 (2020) clause 13.3.6.4.</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indent"/>
      </w:pPr>
      <w:r>
        <w:rPr/>
        <w:t xml:space="preserve">Connections with slotted holes.</w:t>
      </w:r>
    </w:p>
    <w:p>
      <w:pPr>
        <w:pStyle w:val="Instructionsindent"/>
      </w:pPr>
      <w:r>
        <w:rPr/>
        <w:t xml:space="preserve">Weld type, size and category.</w:t>
      </w:r>
    </w:p>
    <w:p>
      <w:pPr>
        <w:pStyle w:val="Instructionsindent"/>
      </w:pPr>
      <w:r>
        <w:rPr/>
        <w:t xml:space="preserve">Splice locations and details.</w:t>
      </w:r>
    </w:p>
    <w:p>
      <w:pPr>
        <w:pStyle w:val="Instructionsindent"/>
      </w:pPr>
      <w:r>
        <w:rPr/>
        <w:t xml:space="preserve">Section sizes, location and connection details.</w:t>
      </w:r>
    </w:p>
    <w:p>
      <w:pPr>
        <w:pStyle w:val="Instructionsindent"/>
      </w:pPr>
      <w:r>
        <w:rPr/>
        <w:t xml:space="preserve">Anchor bolt size and location.</w:t>
      </w:r>
    </w:p>
    <w:p>
      <w:pPr>
        <w:pStyle w:val="Instructionsindent"/>
      </w:pPr>
      <w:r>
        <w:rPr/>
        <w:t xml:space="preserve">Purlin and girt size and spacing.</w:t>
      </w:r>
    </w:p>
    <w:p>
      <w:pPr>
        <w:pStyle w:val="Instructionsindent"/>
      </w:pPr>
      <w:r>
        <w:rPr/>
        <w:t xml:space="preserve">Bridging requirements for purlins and girts.</w:t>
      </w:r>
    </w:p>
    <w:p>
      <w:pPr>
        <w:pStyle w:val="Instructionsindent"/>
      </w:pPr>
      <w:r>
        <w:rPr/>
        <w:t xml:space="preserve">Required temporary propping locations to SlimDek 210 deck.</w:t>
      </w:r>
    </w:p>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Guarantees and warranties.</w:t>
      </w:r>
    </w:p>
    <w:bookmarkEnd w:id="19"/>
    <w:bookmarkStart w:name="f-10157-t8-1" w:id="25"/>
    <w:p>
      <w:pPr>
        <w:pStyle w:val="InstructionsHeading4"/>
      </w:pPr>
      <w:bookmarkStart w:name="h-10157-t8-1" w:id="26"/>
      <w:r>
        <w:rPr/>
        <w:t xml:space="preserve">Specifying ESD</w:t>
      </w:r>
      <w:bookmarkEnd w:id="26"/>
    </w:p>
    <w:p>
      <w:pPr>
        <w:pStyle w:val="Instructions"/>
      </w:pPr>
      <w:r>
        <w:rPr/>
        <w:t xml:space="preserve">The following may be specified by using included options:</w:t>
      </w:r>
    </w:p>
    <w:p>
      <w:pPr>
        <w:pStyle w:val="Instructionsindent"/>
      </w:pPr>
      <w:r>
        <w:rPr/>
        <w:t xml:space="preserve">Environmentally sustainable steelwork conforming to the requirements of the Steel Sustainability Australia Certification Program.</w:t>
      </w:r>
    </w:p>
    <w:p>
      <w:pPr>
        <w:pStyle w:val="Instructions"/>
      </w:pPr>
      <w:r>
        <w:rPr/>
        <w:t xml:space="preserve">The following may be specified by including additional text:</w:t>
      </w:r>
    </w:p>
    <w:p>
      <w:pPr>
        <w:pStyle w:val="Instructionsindent"/>
      </w:pPr>
      <w:r>
        <w:rPr/>
        <w:t xml:space="preserve">Recycled material content.</w:t>
      </w:r>
    </w:p>
    <w:p>
      <w:pPr>
        <w:pStyle w:val="Instructionsindent"/>
      </w:pPr>
      <w:r>
        <w:rPr/>
        <w:t xml:space="preserve">High strength steel to reduce the amount of steel required to achieve the same performance.</w:t>
      </w:r>
    </w:p>
    <w:p>
      <w:pPr>
        <w:pStyle w:val="Instructionsindent"/>
      </w:pPr>
      <w:r>
        <w:rPr/>
        <w:t xml:space="preserve">Use of recycled water by the steel manufacturing plant.</w:t>
      </w:r>
    </w:p>
    <w:p>
      <w:pPr>
        <w:pStyle w:val="Instructions"/>
      </w:pPr>
      <w:r>
        <w:rPr/>
        <w:t xml:space="preserve">Refer to NATSPEC TECHreport TR 01 on specifying ESD.</w:t>
      </w:r>
    </w:p>
    <w:bookmarkEnd w:id="25"/>
    <w:bookmarkStart w:name="f-10157-2" w:id="27"/>
    <w:bookmarkStart w:name="f-10153" w:id="28"/>
    <w:bookmarkStart w:name="f-10153-1" w:id="29"/>
    <w:p>
      <w:pPr>
        <w:pStyle w:val="Heading2"/>
      </w:pPr>
      <w:bookmarkStart w:name="h-10153-1" w:id="30"/>
      <w:r>
        <w:rPr/>
        <w:t xml:space="preserve">GENERAL</w:t>
      </w:r>
      <w:bookmarkEnd w:id="30"/>
    </w:p>
    <w:bookmarkEnd w:id="29"/>
    <w:bookmarkStart w:name="f-10153-10153.1" w:id="31"/>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31"/>
    <w:bookmarkStart w:name="f-10153-2" w:id="32"/>
    <w:p>
      <w:pPr>
        <w:pStyle w:val="Heading3"/>
      </w:pPr>
      <w:bookmarkStart w:name="h-10153-2" w:id="33"/>
      <w:r>
        <w:rPr/>
        <w:t xml:space="preserve">RESPONSIBILITIES</w:t>
      </w:r>
      <w:bookmarkEnd w:id="33"/>
    </w:p>
    <w:bookmarkEnd w:id="32"/>
    <w:bookmarkStart w:name="f-10153-3" w:id="34"/>
    <w:p>
      <w:pPr>
        <w:pStyle w:val="Heading4"/>
      </w:pPr>
      <w:bookmarkStart w:name="h-10153-3" w:id="35"/>
      <w:r>
        <w:rPr/>
        <w:t xml:space="preserve">General</w:t>
      </w:r>
      <w:bookmarkEnd w:id="35"/>
    </w:p>
    <w:p>
      <w:pPr>
        <w:pStyle w:val="Body Text"/>
      </w:pPr>
      <w:r>
        <w:rPr/>
        <w:t xml:space="preserve">Requirement: Provide Fielders SlimFlor 210 floor system and other structural steelwork,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p>
      <w:pPr>
        <w:pStyle w:val="Instructions"/>
      </w:pPr>
      <w:r>
        <w:rPr/>
        <w:t xml:space="preserve">AS/NZS 5131 (2016) clause 4.1.1(d) requires the assignment of the responsibilities listed in AS/NZS 5131 (2016) Table B3. The table lists areas where assignment of responsibilities may need to be clarified in the contract documents. The list does not represent the only areas of responsibility that need to be addressed, only those where current construction practice may vary between projects.</w:t>
      </w:r>
    </w:p>
    <w:bookmarkEnd w:id="34"/>
    <w:bookmarkStart w:name="f-10153-4" w:id="36"/>
    <w:p>
      <w:pPr>
        <w:pStyle w:val="Heading4"/>
      </w:pPr>
      <w:bookmarkStart w:name="h-10153-4" w:id="37"/>
      <w:r>
        <w:rPr/>
        <w:t xml:space="preserve">Performance</w:t>
      </w:r>
      <w:bookmarkEnd w:id="37"/>
    </w:p>
    <w:p>
      <w:pPr>
        <w:pStyle w:val="Prompt"/>
      </w:pPr>
      <w:r>
        <w:rPr/>
        <w:t xml:space="preserve">Construction category to AS 4100 (2020) and AS/NZS 5131 (2016): </w:t>
      </w:r>
      <w:r>
        <w:fldChar w:fldCharType="begin"/>
        <w:instrText xml:space="preserve"> MACROBUTTON  ac_OnHelp [complete/delete]</w:instrText>
        <w:fldChar w:fldCharType="separate"/>
        <w:t xml:space="preserve"> </w:t>
        <w:fldChar w:fldCharType="end"/>
      </w:r>
    </w:p>
    <w:p>
      <w:pPr>
        <w:pStyle w:val="Instructions"/>
      </w:pPr>
      <w:r>
        <w:rPr/>
        <w:t xml:space="preserve">Insert construction category. Do not delete. Refer to AS/NZS 5131 (2016) clause 4.1.2 and Appendix C or AS 4100 (2020) Appendix L to determine the construction category (CC1 to CC4) for the structure.</w:t>
      </w:r>
    </w:p>
    <w:p>
      <w:pPr>
        <w:pStyle w:val="Instructions"/>
      </w:pPr>
      <w:r>
        <w:rPr/>
        <w:t xml:space="preserve">The requirements of each construction category are detailed in AS/NZS 5131 (2016) Table B4.</w:t>
      </w:r>
    </w:p>
    <w:p>
      <w:pPr>
        <w:pStyle w:val="Instructions"/>
      </w:pPr>
      <w:r>
        <w:rPr/>
        <w:t xml:space="preserve">The construction category is based on the Importance level, the Service category and the Fabrication category. Refer to AS/NZS 5131 (2016) clause C3 or AS 4100 (2020) clause L4.</w:t>
      </w:r>
    </w:p>
    <w:p>
      <w:pPr>
        <w:pStyle w:val="Instructions"/>
      </w:pPr>
      <w:r>
        <w:rPr/>
        <w:t xml:space="preserve">A construction category may apply to the whole structure, to parts of the structure or to specific details. If more than one construction category is applicable to the project, consider using a schedule in SELECTIONS to document the project construction categories.</w:t>
      </w:r>
    </w:p>
    <w:p>
      <w:pPr>
        <w:pStyle w:val="Body Text"/>
      </w:pPr>
      <w:r>
        <w:rPr/>
        <w:t xml:space="preserve">Adjoining elements: Provide for the fixing of adjoining building elements that are to be connected to or supported on the structural steel.</w:t>
      </w:r>
    </w:p>
    <w:p>
      <w:pPr>
        <w:pStyle w:val="Instructions"/>
      </w:pPr>
      <w:r>
        <w:rPr/>
        <w:t xml:space="preserve">Fixing requirements for adjoining elements may not be shown on the structural drawings. This clause makes it the contractor’s responsibility to coordinate the requirements. The design effects or supplementary fixing may require professional engineer analysis.</w:t>
      </w:r>
    </w:p>
    <w:bookmarkEnd w:id="36"/>
    <w:bookmarkStart w:name="f-10153-10153.3" w:id="38"/>
    <w:p>
      <w:pPr>
        <w:pStyle w:val="Heading3"/>
      </w:pPr>
      <w:bookmarkStart w:name="h-10153-10153.3" w:id="39"/>
      <w:r>
        <w:rPr/>
        <w:t xml:space="preserve">COMPANY CONTACTS</w:t>
      </w:r>
      <w:bookmarkEnd w:id="39"/>
    </w:p>
    <w:bookmarkEnd w:id="38"/>
    <w:bookmarkStart w:name="f-10153-10153.2" w:id="40"/>
    <w:p>
      <w:pPr>
        <w:pStyle w:val="Heading4"/>
      </w:pPr>
      <w:bookmarkStart w:name="h-10153-10153.2" w:id="41"/>
      <w:r>
        <w:rPr/>
        <w:t xml:space="preserve">Fielders technical contacts</w:t>
      </w:r>
      <w:bookmarkEnd w:id="41"/>
    </w:p>
    <w:p>
      <w:pPr>
        <w:pStyle w:val="Body Text"/>
      </w:pPr>
      <w:r>
        <w:rPr/>
        <w:t xml:space="preserve">Website: </w:t>
      </w:r>
      <w:r>
        <w:fldChar w:fldCharType="begin"/>
      </w:r>
      <w:r>
        <w:instrText xml:space="preserve"> HYPERLINK "https://www.fielders.com.au/aspx/contact.aspx" </w:instrText>
      </w:r>
      <w:r>
        <w:fldChar w:fldCharType="separate"/>
      </w:r>
      <w:r>
        <w:rPr>
          <w:rStyle w:val="Hyperlink"/>
        </w:rPr>
        <w:t>www.fielders.com.au/aspx/contact.aspx</w:t>
      </w:r>
      <w:r>
        <w:fldChar w:fldCharType="end"/>
      </w:r>
      <w:r>
        <w:rPr/>
        <w:t xml:space="preserve">.</w:t>
      </w:r>
    </w:p>
    <w:bookmarkEnd w:id="40"/>
    <w:bookmarkStart w:name="f-10153-5" w:id="42"/>
    <w:p>
      <w:pPr>
        <w:pStyle w:val="Heading3"/>
      </w:pPr>
      <w:bookmarkStart w:name="h-10153-5" w:id="43"/>
      <w:r>
        <w:rPr/>
        <w:t xml:space="preserve">CROSS REFERENCES</w:t>
      </w:r>
      <w:bookmarkEnd w:id="43"/>
    </w:p>
    <w:bookmarkEnd w:id="42"/>
    <w:bookmarkStart w:name="f-10153-6" w:id="44"/>
    <w:p>
      <w:pPr>
        <w:pStyle w:val="Heading4"/>
      </w:pPr>
      <w:bookmarkStart w:name="h-10153-6" w:id="45"/>
      <w:r>
        <w:rPr/>
        <w:t xml:space="preserve">General</w:t>
      </w:r>
      <w:bookmarkEnd w:id="45"/>
    </w:p>
    <w:p>
      <w:pPr>
        <w:pStyle w:val="Body Text"/>
      </w:pPr>
      <w:r>
        <w:rPr/>
        <w:t xml:space="preserve">Requirement: Conform to the following:</w:t>
      </w:r>
    </w:p>
    <w:p>
      <w:pPr>
        <w:pStyle w:val="OptionalNormalIndent"/>
      </w:pPr>
      <w:r>
        <w:rPr>
          <w:i/>
        </w:rPr>
        <w:t xml:space="preserve">0160 Quality.</w:t>
      </w:r>
    </w:p>
    <w:p>
      <w:pPr>
        <w:pStyle w:val="Instructions"/>
      </w:pPr>
      <w:r>
        <w:rPr/>
        <w:t xml:space="preserve">If quality documentation or a quality plan is a project requirement, consider changing this </w:t>
      </w:r>
      <w:r>
        <w:rPr>
          <w:i/>
        </w:rPr>
        <w:t xml:space="preserve">Optional</w:t>
      </w:r>
      <w:r>
        <w:rPr/>
        <w:t xml:space="preserve"> style text to </w:t>
      </w:r>
      <w:r>
        <w:rPr>
          <w:i/>
        </w:rPr>
        <w:t xml:space="preserve">Normal</w:t>
      </w:r>
      <w:r>
        <w:rPr/>
        <w:t xml:space="preserve"> style text. Include the requirements for quality documentation and a quality plan in </w:t>
      </w:r>
      <w:r>
        <w:rPr>
          <w:i/>
        </w:rPr>
        <w:t xml:space="preserve">0160 Quality</w:t>
      </w:r>
      <w:r>
        <w:rPr/>
        <w:t xml:space="preserve">.</w:t>
      </w:r>
    </w:p>
    <w:p>
      <w:pPr>
        <w:pStyle w:val="Instructions"/>
      </w:pPr>
      <w:r>
        <w:rPr/>
        <w:t xml:space="preserve">Alternatively, if quality is only a requirement for the structural steelwork elements of the project, consider including the requirements for quality documentation and a quality plan within this worksection.</w:t>
      </w:r>
    </w:p>
    <w:p>
      <w:pPr>
        <w:pStyle w:val="Instructions"/>
      </w:pPr>
      <w:r>
        <w:rPr/>
        <w:t xml:space="preserve">AS/NZS 5131 (2016) clause 4.5.1 requires quality documentation for all construction categories except CC1. AS/NZS 5131 (2016) Appendix D provides guidance on the elements of a quality management system applicable to fabrication, corrosion protection and erection.</w:t>
      </w:r>
    </w:p>
    <w:p>
      <w:pPr>
        <w:pStyle w:val="Instructions"/>
      </w:pPr>
      <w:r>
        <w:rPr/>
        <w:t xml:space="preserve">AS/NZS 5131 (2016) clause 4.5.2 requires a project quality plan for construction categories CC3 and CC4. A quality plan is optional for construction category CC2. AS/NZS 5131 (2016) Appendix E provides guidance on the content of a quality plan.</w:t>
      </w:r>
    </w:p>
    <w:p>
      <w:pPr>
        <w:pStyle w:val="Instructions"/>
      </w:pPr>
      <w:r>
        <w:rPr/>
        <w:t xml:space="preserve">The ASI also recommends the use of a compliance management plan, which would include the quality plan requirements from AS/NZS 5131 (2016) and the following:</w:t>
      </w:r>
    </w:p>
    <w:p>
      <w:pPr>
        <w:pStyle w:val="Instructionsindent"/>
      </w:pPr>
      <w:r>
        <w:rPr/>
        <w:t xml:space="preserve">Process and documentation checklists for purchasing steel.</w:t>
      </w:r>
    </w:p>
    <w:p>
      <w:pPr>
        <w:pStyle w:val="Instructionsindent"/>
      </w:pPr>
      <w:r>
        <w:rPr/>
        <w:t xml:space="preserve">Process for identification and traceability of steel and steelwork from purchasing through to completion of the project.</w:t>
      </w:r>
    </w:p>
    <w:p>
      <w:pPr>
        <w:pStyle w:val="Instructionsindent"/>
      </w:pPr>
      <w:r>
        <w:rPr/>
        <w:t xml:space="preserve">Process and documentation checklists for erection of structural steelwork.</w:t>
      </w:r>
    </w:p>
    <w:p>
      <w:pPr>
        <w:pStyle w:val="Instructionsindent"/>
      </w:pPr>
      <w:r>
        <w:rPr/>
        <w:t xml:space="preserve">Process for review of steel and steelwork documentation to make sure the performance requirements of the NCC and nominated Australian Standards are met.</w:t>
      </w:r>
    </w:p>
    <w:p>
      <w:pPr>
        <w:pStyle w:val="Instructionsindent"/>
      </w:pPr>
      <w:r>
        <w:rPr/>
        <w:t xml:space="preserve">Assigned responsibilities for compliance management, including names and CV’s of relevant personnel.</w:t>
      </w:r>
    </w:p>
    <w:p>
      <w:pPr>
        <w:pStyle w:val="Instructions"/>
      </w:pPr>
      <w:r>
        <w:rPr/>
        <w:t xml:space="preserve">If a compliance management plan is a project requirement, document requirements in </w:t>
      </w:r>
      <w:r>
        <w:rPr>
          <w:i/>
        </w:rPr>
        <w:t xml:space="preserve">0160 Quality</w:t>
      </w:r>
      <w:r>
        <w:rPr/>
        <w:t xml:space="preserve">.</w:t>
      </w:r>
    </w:p>
    <w:p>
      <w:pPr>
        <w:pStyle w:val="Instructions"/>
      </w:pPr>
      <w:r>
        <w:rPr/>
        <w:t xml:space="preserve">The ASI also recommends the submission of a fabricator's Manufacturer’s data report (MDR), the structure and contents of which are defined in ASI NSSS (2023) clause 4.8.8. If the submission of a fabricator's MDR is a project requirement, document requirements either in </w:t>
      </w:r>
      <w:r>
        <w:rPr>
          <w:i/>
        </w:rPr>
        <w:t xml:space="preserve">0160 Quality</w:t>
      </w:r>
      <w:r>
        <w:rPr/>
        <w:t xml:space="preserve"> or in the </w:t>
      </w:r>
      <w:r>
        <w:rPr>
          <w:b/>
        </w:rPr>
        <w:t xml:space="preserve">SUBMISSIONS</w:t>
      </w:r>
      <w:r>
        <w:rPr/>
        <w:t xml:space="preserve"> clause of this worksection.</w:t>
      </w:r>
    </w:p>
    <w:p>
      <w:pPr>
        <w:pStyle w:val="Instructions"/>
      </w:pPr>
      <w:r>
        <w:rPr/>
        <w:t xml:space="preserve">The requirements for Inspection and Test Plans (ITPs) should be included in the quality plan. Include such requirements in </w:t>
      </w:r>
      <w:r>
        <w:rPr>
          <w:i/>
        </w:rPr>
        <w:t xml:space="preserve">0160 Quality</w:t>
      </w:r>
      <w:r>
        <w:rPr/>
        <w:t xml:space="preserve">. Refer to AS/NZS 5131 (2016) Section 13.</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NormalIndent"/>
      </w:pPr>
      <w:r>
        <w:rPr>
          <w:i/>
        </w:rPr>
        <w:t xml:space="preserve">0344 Steel - hot-dip galvanized coatings</w:t>
      </w:r>
      <w:r>
        <w:rPr/>
        <w:t xml:space="preserve">.</w:t>
      </w:r>
    </w:p>
    <w:p>
      <w:pPr>
        <w:pStyle w:val="NormalIndent"/>
      </w:pPr>
      <w:r>
        <w:rPr>
          <w:i/>
        </w:rPr>
        <w:t xml:space="preserve">0345 Steel - protective paint coatings</w:t>
      </w:r>
      <w:r>
        <w:rPr/>
        <w:t xml:space="preserve">.</w:t>
      </w:r>
    </w:p>
    <w:p>
      <w:pPr>
        <w:pStyle w:val="NormalIndent"/>
      </w:pPr>
      <w:r>
        <w:rPr>
          <w:i/>
        </w:rPr>
        <w:t xml:space="preserve">0346 Structural fire protection systems</w:t>
      </w:r>
      <w:r>
        <w:rPr/>
        <w:t xml:space="preserve">.</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Start w:name="f-10153-7" w:id="46"/>
    <w:p>
      <w:pPr>
        <w:pStyle w:val="Heading3"/>
      </w:pPr>
      <w:bookmarkStart w:name="h-10153-7" w:id="47"/>
      <w:r>
        <w:rPr/>
        <w:t xml:space="preserve">STANDARDS</w:t>
      </w:r>
      <w:bookmarkEnd w:id="47"/>
    </w:p>
    <w:bookmarkEnd w:id="46"/>
    <w:bookmarkStart w:name="f-10153-8" w:id="48"/>
    <w:p>
      <w:pPr>
        <w:pStyle w:val="Heading4"/>
      </w:pPr>
      <w:bookmarkStart w:name="h-10153-8" w:id="49"/>
      <w:r>
        <w:rPr/>
        <w:t xml:space="preserve">General</w:t>
      </w:r>
      <w:bookmarkEnd w:id="49"/>
    </w:p>
    <w:p>
      <w:pPr>
        <w:pStyle w:val="Body Text"/>
      </w:pPr>
      <w:r>
        <w:rPr/>
        <w:t xml:space="preserve">Materials and design: To AS 4100 (2020).</w:t>
      </w:r>
    </w:p>
    <w:p>
      <w:pPr>
        <w:pStyle w:val="Body Text"/>
      </w:pPr>
      <w:r>
        <w:rPr/>
        <w:t xml:space="preserve">Materials and design of cold-formed decking, purlins and girts: To AS/NZS 4600 (2018).</w:t>
      </w:r>
    </w:p>
    <w:p>
      <w:pPr>
        <w:pStyle w:val="Instructions"/>
      </w:pPr>
      <w:r>
        <w:rPr/>
        <w:t xml:space="preserve">AS/NZS 4600 (2018) specifies design and material requirements for structural members made by cold-forming carbon and low alloy steel strip or sheet. However, AS/NZS 5131 (2016) covers the fabrication and erection of these members. The material and design requirements for cold-formed structural hollow sections conforming to AS/NZS 1163 (2016) are covered by AS 4100 (2020).</w:t>
      </w:r>
    </w:p>
    <w:p>
      <w:pPr>
        <w:pStyle w:val="Body Text"/>
      </w:pPr>
      <w:r>
        <w:rPr/>
        <w:t xml:space="preserve">Composite steel-concrete construction including profiled steel sheeting and shear connectors: To AS/NZS 2327 (2017).</w:t>
      </w:r>
    </w:p>
    <w:p>
      <w:pPr>
        <w:pStyle w:val="Body Text"/>
      </w:pPr>
      <w:r>
        <w:rPr/>
        <w:t xml:space="preserve">Fabrication and erection: To AS/NZS 5131 (2016).</w:t>
      </w:r>
    </w:p>
    <w:p>
      <w:pPr>
        <w:pStyle w:val="Instructions"/>
      </w:pPr>
      <w:r>
        <w:rPr/>
        <w:t xml:space="preserve">AS/NZS 5131 (2016) sets out the minimum requirements for the construction of structural steelwork involving fabrication, preparation of steel surfaces for corrosion protection, corrosion protection comprising painting and galvanizing, erection and modification of steelwork.</w:t>
      </w:r>
    </w:p>
    <w:p>
      <w:pPr>
        <w:pStyle w:val="Instructions"/>
      </w:pPr>
      <w:r>
        <w:rPr/>
        <w:t xml:space="preserve">For further information on steel fabrication and erection, refer to ASI TN011 (2020).</w:t>
      </w:r>
    </w:p>
    <w:bookmarkEnd w:id="48"/>
    <w:bookmarkStart w:name="f-10153-10153.5" w:id="50"/>
    <w:p>
      <w:pPr>
        <w:pStyle w:val="Heading3"/>
      </w:pPr>
      <w:bookmarkStart w:name="h-10153-10153.5" w:id="51"/>
      <w:r>
        <w:rPr/>
        <w:t xml:space="preserve">MANUFACTURER'S DOCUMENTS</w:t>
      </w:r>
      <w:bookmarkEnd w:id="51"/>
    </w:p>
    <w:bookmarkEnd w:id="50"/>
    <w:bookmarkStart w:name="f-10153-10153.4" w:id="52"/>
    <w:p>
      <w:pPr>
        <w:pStyle w:val="Heading4"/>
      </w:pPr>
      <w:bookmarkStart w:name="h-10153-10153.4" w:id="53"/>
      <w:r>
        <w:rPr/>
        <w:t xml:space="preserve">Technical manual</w:t>
      </w:r>
      <w:bookmarkEnd w:id="53"/>
    </w:p>
    <w:p>
      <w:pPr>
        <w:pStyle w:val="Body Text"/>
      </w:pPr>
      <w:r>
        <w:rPr/>
        <w:t xml:space="preserve">SlimDek 210 deep deck composite formwork: KingFlor Manual (2020) </w:t>
      </w:r>
      <w:r>
        <w:fldChar w:fldCharType="begin"/>
      </w:r>
      <w:r>
        <w:instrText xml:space="preserve"> HYPERLINK "https://specifying.fielders.com.au/downloads" </w:instrText>
      </w:r>
      <w:r>
        <w:fldChar w:fldCharType="separate"/>
      </w:r>
      <w:r>
        <w:rPr>
          <w:rStyle w:val="Hyperlink"/>
        </w:rPr>
        <w:t>specifying.fielders.com.au/downloads</w:t>
      </w:r>
      <w:r>
        <w:fldChar w:fldCharType="end"/>
      </w:r>
      <w:r>
        <w:rPr/>
        <w:t xml:space="preserve">.</w:t>
      </w:r>
    </w:p>
    <w:p>
      <w:pPr>
        <w:pStyle w:val="Body Text"/>
      </w:pPr>
      <w:r>
        <w:rPr/>
        <w:t xml:space="preserve">ASB / ASB(UC) Asymmetric steel beam (ASB): </w:t>
      </w:r>
      <w:r>
        <w:rPr>
          <w:i/>
        </w:rPr>
        <w:t xml:space="preserve">Fielders Fact File F.3.5 (2018)</w:t>
      </w:r>
      <w:r>
        <w:rPr/>
        <w:t xml:space="preserve"> datasheet.</w:t>
      </w:r>
    </w:p>
    <w:p>
      <w:pPr>
        <w:pStyle w:val="Instructions"/>
      </w:pPr>
      <w:r>
        <w:rPr/>
        <w:t xml:space="preserve">Contact Fielders for a copy of the datasheet on the ASB / ASB(UC) required for SlimFlor construction.</w:t>
      </w:r>
    </w:p>
    <w:bookmarkEnd w:id="52"/>
    <w:bookmarkStart w:name="f-10153-9" w:id="54"/>
    <w:p>
      <w:pPr>
        <w:pStyle w:val="Heading3"/>
      </w:pPr>
      <w:bookmarkStart w:name="h-10153-9" w:id="55"/>
      <w:r>
        <w:rPr/>
        <w:t xml:space="preserve">INTERPRETATION</w:t>
      </w:r>
      <w:bookmarkEnd w:id="55"/>
    </w:p>
    <w:bookmarkEnd w:id="54"/>
    <w:bookmarkStart w:name="f-10153-10" w:id="56"/>
    <w:p>
      <w:pPr>
        <w:pStyle w:val="Heading4"/>
      </w:pPr>
      <w:bookmarkStart w:name="h-10153-10" w:id="57"/>
      <w:r>
        <w:rPr/>
        <w:t xml:space="preserve">Abbreviations</w:t>
      </w:r>
      <w:bookmarkEnd w:id="57"/>
    </w:p>
    <w:p>
      <w:pPr>
        <w:pStyle w:val="Body Text"/>
      </w:pPr>
      <w:r>
        <w:rPr/>
        <w:t xml:space="preserve">General: For the purposes of this worksection, the following abbreviations apply:</w:t>
      </w:r>
    </w:p>
    <w:p>
      <w:pPr>
        <w:pStyle w:val="NormalIndent"/>
      </w:pPr>
      <w:r>
        <w:rPr/>
        <w:t xml:space="preserve">AESS: Architecturally Exposed Structural Steel.</w:t>
      </w:r>
    </w:p>
    <w:p>
      <w:pPr>
        <w:pStyle w:val="NormalIndent"/>
      </w:pPr>
      <w:r>
        <w:rPr/>
        <w:t xml:space="preserve">ASB: Asymmetric Steel Beam.</w:t>
      </w:r>
    </w:p>
    <w:p>
      <w:pPr>
        <w:pStyle w:val="NormalIndent"/>
      </w:pPr>
      <w:r>
        <w:rPr/>
        <w:t xml:space="preserve">CC: Construction Category.</w:t>
      </w:r>
    </w:p>
    <w:p>
      <w:pPr>
        <w:pStyle w:val="NormalIndent"/>
      </w:pPr>
      <w:r>
        <w:rPr/>
        <w:t xml:space="preserve">NDE: Non-Destructive Examination.</w:t>
      </w:r>
    </w:p>
    <w:p>
      <w:pPr>
        <w:pStyle w:val="Instructions"/>
      </w:pPr>
      <w:r>
        <w:rPr/>
        <w:t xml:space="preserve">Edit the </w:t>
      </w:r>
      <w:r>
        <w:rPr>
          <w:b/>
        </w:rPr>
        <w:t xml:space="preserve">Abbreviations</w:t>
      </w:r>
      <w:r>
        <w:rPr/>
        <w:t xml:space="preserve"> subclause to suit the project or delete if not required. List alphabetically.</w:t>
      </w:r>
    </w:p>
    <w:bookmarkEnd w:id="56"/>
    <w:bookmarkStart w:name="f-10153-11" w:id="58"/>
    <w:p>
      <w:pPr>
        <w:pStyle w:val="Heading4"/>
      </w:pPr>
      <w:bookmarkStart w:name="h-10153-11" w:id="59"/>
      <w:r>
        <w:rPr/>
        <w:t xml:space="preserve">Definitions</w:t>
      </w:r>
      <w:bookmarkEnd w:id="59"/>
    </w:p>
    <w:p>
      <w:pPr>
        <w:pStyle w:val="Body Text"/>
      </w:pPr>
      <w:r>
        <w:rPr/>
        <w:t xml:space="preserve">General: For the purposes of this worksection, the definitions given in AS/NZS 5131 (2016) apply.</w:t>
      </w:r>
    </w:p>
    <w:bookmarkStart w:name="f-7220" w:id="60"/>
    <w:bookmarkStart w:name="f-7220-1" w:id="61"/>
    <w:p>
      <w:pPr>
        <w:pStyle w:val="Instructions"/>
      </w:pPr>
      <w:r>
        <w:rPr/>
        <w:t xml:space="preserve">Edit the </w:t>
      </w:r>
      <w:r>
        <w:rPr>
          <w:b/>
        </w:rPr>
        <w:t xml:space="preserve">Definitions</w:t>
      </w:r>
      <w:r>
        <w:rPr/>
        <w:t xml:space="preserve"> subclause to suit the project or delete if not required. List alphabetically.</w:t>
      </w:r>
    </w:p>
    <w:bookmarkEnd w:id="61"/>
    <w:bookmarkEnd w:id="60"/>
    <w:bookmarkEnd w:id="58"/>
    <w:bookmarkStart w:name="f-10153-12" w:id="62"/>
    <w:p>
      <w:pPr>
        <w:pStyle w:val="Heading3"/>
      </w:pPr>
      <w:bookmarkStart w:name="h-10153-12" w:id="63"/>
      <w:r>
        <w:rPr/>
        <w:t xml:space="preserve">TOLERANCES</w:t>
      </w:r>
      <w:bookmarkEnd w:id="63"/>
    </w:p>
    <w:bookmarkEnd w:id="62"/>
    <w:bookmarkStart w:name="f-10153-13" w:id="64"/>
    <w:p>
      <w:pPr>
        <w:pStyle w:val="Heading4"/>
      </w:pPr>
      <w:bookmarkStart w:name="h-10153-13" w:id="65"/>
      <w:r>
        <w:rPr/>
        <w:t xml:space="preserve">General</w:t>
      </w:r>
      <w:bookmarkEnd w:id="65"/>
    </w:p>
    <w:p>
      <w:pPr>
        <w:pStyle w:val="Body Text"/>
      </w:pPr>
      <w:r>
        <w:rPr/>
        <w:t xml:space="preserve">Requirement: To AS/NZS 5131 (2016) Section 12 and Appendix F.</w:t>
      </w:r>
    </w:p>
    <w:p>
      <w:pPr>
        <w:pStyle w:val="Instructions"/>
      </w:pPr>
      <w:r>
        <w:rPr/>
        <w:t xml:space="preserve">Edit if departing from tolerances described in AS/NZS 5131 (2016) Appendix F.</w:t>
      </w:r>
    </w:p>
    <w:p>
      <w:pPr>
        <w:pStyle w:val="Body Text"/>
      </w:pPr>
      <w:r>
        <w:rPr/>
        <w:t xml:space="preserve">Tolerance class: 1.</w:t>
      </w:r>
    </w:p>
    <w:p>
      <w:pPr>
        <w:pStyle w:val="Instructions"/>
      </w:pPr>
      <w:r>
        <w:rPr/>
        <w:t xml:space="preserve">Change the default to Class 2 if required.</w:t>
      </w:r>
    </w:p>
    <w:p>
      <w:pPr>
        <w:pStyle w:val="Instructions"/>
      </w:pPr>
      <w:r>
        <w:rPr/>
        <w:t xml:space="preserve">Class 1 tolerances are the default requirement in AS/NZS 5131 (2016) and should be acceptable for most steelwork construction.</w:t>
      </w:r>
    </w:p>
    <w:p>
      <w:pPr>
        <w:pStyle w:val="Instructions"/>
      </w:pPr>
      <w:r>
        <w:rPr/>
        <w:t xml:space="preserve">Class 2 tolerances are tighter and might be considered for higher specification work. AS/NZS 5131 (2016) recommends Class 2 should be considered for CC3 and CC4 structures or components.</w:t>
      </w:r>
    </w:p>
    <w:p>
      <w:pPr>
        <w:pStyle w:val="Body Text"/>
      </w:pPr>
      <w:r>
        <w:rPr/>
        <w:t xml:space="preserve">AESS: As documented.</w:t>
      </w:r>
    </w:p>
    <w:p>
      <w:pPr>
        <w:pStyle w:val="Instructions"/>
      </w:pPr>
      <w:r>
        <w:rPr/>
        <w:t xml:space="preserve">AESS may require more stringent tolerances. Document the required tolerances in the </w:t>
      </w:r>
      <w:r>
        <w:rPr>
          <w:b/>
        </w:rPr>
        <w:t xml:space="preserve">AESS schedule</w:t>
      </w:r>
      <w:r>
        <w:rPr/>
        <w:t xml:space="preserve">.</w:t>
      </w:r>
    </w:p>
    <w:bookmarkEnd w:id="64"/>
    <w:bookmarkStart w:name="f-10153-14" w:id="66"/>
    <w:p>
      <w:pPr>
        <w:pStyle w:val="Heading3"/>
      </w:pPr>
      <w:bookmarkStart w:name="h-10153-14" w:id="67"/>
      <w:r>
        <w:rPr/>
        <w:t xml:space="preserve">SUBMISSIONS</w:t>
      </w:r>
      <w:bookmarkEnd w:id="67"/>
    </w:p>
    <w:bookmarkEnd w:id="66"/>
    <w:bookmarkStart w:name="f-10153-15" w:id="68"/>
    <w:p>
      <w:pPr>
        <w:pStyle w:val="OptionalHeading4"/>
      </w:pPr>
      <w:bookmarkStart w:name="h-10153-15" w:id="69"/>
      <w:r>
        <w:rPr/>
        <w:t xml:space="preserve">Design documentation</w:t>
      </w:r>
      <w:bookmarkEnd w:id="69"/>
    </w:p>
    <w:p>
      <w:pPr>
        <w:pStyle w:val="OptionalNormal"/>
      </w:pPr>
      <w:r>
        <w:rPr/>
        <w:t xml:space="preserve">Adequacy of structure: Submit calculations to verify the adequacy of the structure to sustain loads and/or procedures, which may be imposed during construction.</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68"/>
    <w:bookmarkStart w:name="f-10153-16" w:id="70"/>
    <w:p>
      <w:pPr>
        <w:pStyle w:val="Heading4"/>
      </w:pPr>
      <w:bookmarkStart w:name="h-10153-16" w:id="71"/>
      <w:r>
        <w:rPr/>
        <w:t xml:space="preserve">Execution details</w:t>
      </w:r>
      <w:bookmarkEnd w:id="71"/>
    </w:p>
    <w:p>
      <w:pPr>
        <w:pStyle w:val="Body Text"/>
      </w:pPr>
      <w:r>
        <w:rPr/>
        <w:t xml:space="preserve">Anchor bolts: If anchor bolts do not meet documented location tolerances, submit proposals for rectification before proceeding.</w:t>
      </w:r>
    </w:p>
    <w:p>
      <w:pPr>
        <w:pStyle w:val="Body Text"/>
      </w:pPr>
      <w:r>
        <w:rPr/>
        <w:t xml:space="preserve">Bolting connections: For connections not documented, submit proposals.</w:t>
      </w:r>
    </w:p>
    <w:p>
      <w:pPr>
        <w:pStyle w:val="Body Text"/>
      </w:pPr>
      <w:r>
        <w:rPr/>
        <w:t xml:space="preserve">Bolt tensioning procedure: Submit details of procedure, equipment to be used and calibration of the process.</w:t>
      </w:r>
    </w:p>
    <w:p>
      <w:pPr>
        <w:pStyle w:val="Instructions"/>
      </w:pPr>
      <w:r>
        <w:rPr/>
        <w:t xml:space="preserve">Refer to AS/NZS 5131 (2016) clause 8.5 on the tensioning of high-strength bolts.</w:t>
      </w:r>
    </w:p>
    <w:p>
      <w:pPr>
        <w:pStyle w:val="OptionalNormal"/>
      </w:pPr>
      <w:r>
        <w:rPr/>
        <w:t xml:space="preserve">Erection sequence methodology (ESM): Submit ESM conforming to AS/NZS 5131 (2016) clause 11.5.1.</w:t>
      </w:r>
    </w:p>
    <w:p>
      <w:pPr>
        <w:pStyle w:val="Instructions"/>
      </w:pPr>
      <w:r>
        <w:rPr/>
        <w:t xml:space="preserve">If an ESM is required, include this </w:t>
      </w:r>
      <w:r>
        <w:rPr>
          <w:i/>
        </w:rPr>
        <w:t xml:space="preserve">Optiona</w:t>
      </w:r>
      <w:r>
        <w:rPr/>
        <w:t xml:space="preserve">l style text by changing to </w:t>
      </w:r>
      <w:r>
        <w:rPr>
          <w:i/>
        </w:rPr>
        <w:t xml:space="preserve">Normal</w:t>
      </w:r>
      <w:r>
        <w:rPr/>
        <w:t xml:space="preserve"> style text. ESM’s would usually be required for high risk construction work or work of an unusual or atypical nature, where a risk assessment has identified the need for an ESM.</w:t>
      </w:r>
    </w:p>
    <w:p>
      <w:pPr>
        <w:pStyle w:val="Instructions"/>
      </w:pPr>
      <w:r>
        <w:rPr/>
        <w:t xml:space="preserve">Refer to the </w:t>
      </w:r>
      <w:r>
        <w:rPr>
          <w:i/>
        </w:rPr>
        <w:t xml:space="preserve">ASI Practical guide (2016) to planning the safe erection of steel structures</w:t>
      </w:r>
      <w:r>
        <w:rPr/>
        <w:t xml:space="preserve"> for further information.</w:t>
      </w:r>
    </w:p>
    <w:p>
      <w:pPr>
        <w:pStyle w:val="Body Text"/>
      </w:pPr>
      <w:r>
        <w:rPr/>
        <w:t xml:space="preserve">Site base plate holing: If hand cutting of bolt holes in column base plates are required, submit details.</w:t>
      </w:r>
    </w:p>
    <w:p>
      <w:pPr>
        <w:pStyle w:val="Instructions"/>
      </w:pPr>
      <w:r>
        <w:rPr/>
        <w:t xml:space="preserve">AS/NZS 5131 (2016) clause 6.7.1 permits hand flame cutting of bolt holes only as site rectification of base plates.</w:t>
      </w:r>
    </w:p>
    <w:p>
      <w:pPr>
        <w:pStyle w:val="Body Text"/>
      </w:pPr>
      <w:r>
        <w:rPr/>
        <w:t xml:space="preserve">Purlins and girts: If purlins and girts support components other than roofing or cladding, submit details.</w:t>
      </w:r>
    </w:p>
    <w:p>
      <w:pPr>
        <w:pStyle w:val="Instructions"/>
      </w:pPr>
      <w:r>
        <w:rPr/>
        <w:t xml:space="preserve">All fixing to purlins for the suspension of ducts and services etc. is through the web of the section.</w:t>
      </w:r>
    </w:p>
    <w:p>
      <w:pPr>
        <w:pStyle w:val="Body Text"/>
      </w:pPr>
      <w:r>
        <w:rPr/>
        <w:t xml:space="preserve">Site modifications: Submit details of proposed on-site modifications or rectifications to any steel member, connection component, mechanical fastener, weld or corrosion protection.</w:t>
      </w:r>
    </w:p>
    <w:p>
      <w:pPr>
        <w:pStyle w:val="Instructions"/>
      </w:pPr>
      <w:r>
        <w:rPr/>
        <w:t xml:space="preserve">Refer to AS/NZS 5131 (2016) Section 14.</w:t>
      </w:r>
    </w:p>
    <w:p>
      <w:pPr>
        <w:pStyle w:val="Body Text"/>
      </w:pPr>
      <w:r>
        <w:rPr/>
        <w:t xml:space="preserve">Splices: If variations to documented splice locations or additional splices are proposed, submit details.</w:t>
      </w:r>
    </w:p>
    <w:p>
      <w:pPr>
        <w:pStyle w:val="Body Text"/>
      </w:pPr>
      <w:r>
        <w:rPr/>
        <w:t xml:space="preserve">Temporary connections or attachments: If not documented, submit details.</w:t>
      </w:r>
    </w:p>
    <w:p>
      <w:pPr>
        <w:pStyle w:val="Body Text"/>
      </w:pPr>
      <w:r>
        <w:rPr/>
        <w:t xml:space="preserve">Undocumented weld types: Submit proposals for weld type and electrodes.</w:t>
      </w:r>
    </w:p>
    <w:p>
      <w:pPr>
        <w:pStyle w:val="Body Text"/>
      </w:pPr>
      <w:r>
        <w:rPr/>
        <w:t xml:space="preserve">Welding plan: Submit a welding plan to AS/NZS 5131 (2016) clause 7.2.</w:t>
      </w:r>
    </w:p>
    <w:p>
      <w:pPr>
        <w:pStyle w:val="Instructions"/>
      </w:pPr>
      <w:r>
        <w:rPr/>
        <w:t xml:space="preserve">AS/NZS 5131 (2016) clause 7.2 refers to the requirements of a welding procedure specification, a template for which is included in AS/NZS 1554.1 (2014) Appendix C.</w:t>
      </w:r>
    </w:p>
    <w:p>
      <w:pPr>
        <w:pStyle w:val="Body Text"/>
      </w:pPr>
      <w:r>
        <w:rPr/>
        <w:t xml:space="preserve">Work method statement: Before any erection work commences, submit a work method statement to AS/NZS 5131 (2016) clause 11.2.3.</w:t>
      </w:r>
    </w:p>
    <w:p>
      <w:pPr>
        <w:pStyle w:val="Instructions"/>
      </w:pPr>
      <w:r>
        <w:rPr/>
        <w:t xml:space="preserve">If proof of registration of all lifting equipment used on site is required to be available for inspection at all times, include this requirement. Refer to AS/NZS 5131 (2016) clause 11.2.5.</w:t>
      </w:r>
    </w:p>
    <w:bookmarkEnd w:id="70"/>
    <w:bookmarkStart w:name="f-10153-17" w:id="72"/>
    <w:p>
      <w:pPr>
        <w:pStyle w:val="Heading4"/>
      </w:pPr>
      <w:bookmarkStart w:name="h-10153-17" w:id="73"/>
      <w:r>
        <w:rPr/>
        <w:t xml:space="preserve">Fabrication details</w:t>
      </w:r>
      <w:bookmarkEnd w:id="73"/>
    </w:p>
    <w:p>
      <w:pPr>
        <w:pStyle w:val="Body Text"/>
      </w:pPr>
      <w:r>
        <w:rPr/>
        <w:t xml:space="preserve">Distortions: Submit proposals for the following:</w:t>
      </w:r>
    </w:p>
    <w:p>
      <w:pPr>
        <w:pStyle w:val="NormalIndent"/>
      </w:pPr>
      <w:r>
        <w:rPr/>
        <w:t xml:space="preserve">Preventing or minimising distortion of galvanized components, welded components or welded and galvanized components.</w:t>
      </w:r>
    </w:p>
    <w:p>
      <w:pPr>
        <w:pStyle w:val="NormalIndent"/>
      </w:pPr>
      <w:r>
        <w:rPr/>
        <w:t xml:space="preserve">Restoration to the designed shape.</w:t>
      </w:r>
    </w:p>
    <w:p>
      <w:pPr>
        <w:pStyle w:val="Body Text"/>
      </w:pPr>
      <w:r>
        <w:rPr/>
        <w:t xml:space="preserve">Identification marks: If members and/or connections will be exposed to view, submit details of proposed marking.</w:t>
      </w:r>
    </w:p>
    <w:p>
      <w:pPr>
        <w:pStyle w:val="Body Text"/>
      </w:pPr>
      <w:r>
        <w:rPr/>
        <w:t xml:space="preserve">Program: Submit a fabrication program showing the proposed sequence of operations and time required.</w:t>
      </w:r>
    </w:p>
    <w:p>
      <w:pPr>
        <w:pStyle w:val="Instructions"/>
      </w:pPr>
      <w:r>
        <w:rPr/>
        <w:t xml:space="preserve">Refer to AS/NZS 5131 (2016) Section 6 for fabrication requirements.</w:t>
      </w:r>
    </w:p>
    <w:bookmarkEnd w:id="72"/>
    <w:bookmarkStart w:name="f-10153-18" w:id="74"/>
    <w:p>
      <w:pPr>
        <w:pStyle w:val="Heading4"/>
      </w:pPr>
      <w:bookmarkStart w:name="h-10153-18" w:id="75"/>
      <w:r>
        <w:rPr/>
        <w:t xml:space="preserve">Products and materials</w:t>
      </w:r>
      <w:bookmarkEnd w:id="75"/>
    </w:p>
    <w:p>
      <w:pPr>
        <w:pStyle w:val="Body Text"/>
      </w:pPr>
      <w:r>
        <w:rPr/>
        <w:t xml:space="preserve">Steel members and sections: Submit test reports or test certificates conforming to AS 4100 (2020) clause 2.2.2.</w:t>
      </w:r>
    </w:p>
    <w:p>
      <w:pPr>
        <w:pStyle w:val="Instructions"/>
      </w:pPr>
      <w:r>
        <w:rPr/>
        <w:t xml:space="preserve">AS/NZS 5131 (2016) clause 4.6.2 allows for a Supplier Declaration of Conformity (SDoC) to be provided. If required, include requirements for SDoC.</w:t>
      </w:r>
    </w:p>
    <w:p>
      <w:pPr>
        <w:pStyle w:val="Instructions"/>
      </w:pPr>
      <w:r>
        <w:rPr/>
        <w:t xml:space="preserve">Steelwork designed to AS 4100 (2020) and conforming to the NCC requires the use of steel conforming to Australian Standards, otherwise the requirements of AS 4100 (2020) clause 2.2.3 apply.</w:t>
      </w:r>
    </w:p>
    <w:p>
      <w:pPr>
        <w:pStyle w:val="Instructions"/>
      </w:pPr>
      <w:r>
        <w:rPr/>
        <w:t xml:space="preserve">AS/NZS 1163 (2016) defines the requirements for cold-formed hollow sections.</w:t>
      </w:r>
    </w:p>
    <w:p>
      <w:pPr>
        <w:pStyle w:val="Instructions"/>
      </w:pPr>
      <w:r>
        <w:rPr/>
        <w:t xml:space="preserve">AS/NZS 1594 (2002) defines the requirements for hot-rolled steel flat products.</w:t>
      </w:r>
    </w:p>
    <w:p>
      <w:pPr>
        <w:pStyle w:val="Instructions"/>
      </w:pPr>
      <w:r>
        <w:rPr/>
        <w:t xml:space="preserve">AS 3597 (2008) defines the requirements for quenched and tempered steel plates.</w:t>
      </w:r>
    </w:p>
    <w:p>
      <w:pPr>
        <w:pStyle w:val="Instructions"/>
      </w:pPr>
      <w:r>
        <w:rPr/>
        <w:t xml:space="preserve">AS/NZS 3678 (2016) defines the requirements for hot-rolled steel plates.</w:t>
      </w:r>
    </w:p>
    <w:p>
      <w:pPr>
        <w:pStyle w:val="Instructions"/>
      </w:pPr>
      <w:r>
        <w:rPr/>
        <w:t xml:space="preserve">AS/NZS 3679.1 (2016) defines the requirements for hot-rolled steel bars and sections.</w:t>
      </w:r>
    </w:p>
    <w:p>
      <w:pPr>
        <w:pStyle w:val="Instructions"/>
      </w:pPr>
      <w:r>
        <w:rPr/>
        <w:t xml:space="preserve">AS/NZS 3679.2 (2016) defines the requirements for welded I sections.</w:t>
      </w:r>
    </w:p>
    <w:p>
      <w:pPr>
        <w:pStyle w:val="Instructions"/>
      </w:pPr>
      <w:r>
        <w:rPr/>
        <w:t xml:space="preserve">Refer to ASI TN005 (2020) and ASI TN007 (2020) for further guidance on conforming steel.</w:t>
      </w:r>
    </w:p>
    <w:p>
      <w:pPr>
        <w:pStyle w:val="Instructions"/>
      </w:pPr>
      <w:r>
        <w:rPr/>
        <w:t xml:space="preserve">Refer to ASI TN015 (2021) for guidance on ascertaining the compliance of structural steel.</w:t>
      </w:r>
    </w:p>
    <w:p>
      <w:pPr>
        <w:pStyle w:val="Body Text"/>
      </w:pPr>
      <w:r>
        <w:rPr/>
        <w:t xml:space="preserve">Bolts, nuts and washers: Submit test reports or test certificates conforming to AS/NZS 1252.1 (2016) Section 6.</w:t>
      </w:r>
    </w:p>
    <w:p>
      <w:pPr>
        <w:pStyle w:val="Body Text"/>
      </w:pPr>
      <w:r>
        <w:rPr/>
        <w:t xml:space="preserve">Verification testing of bolt assemblies: Submit test reports or certificates conforming to AS/NZS 1252.2 (2016) Section 2, together with the Supplier Declaration of Conformity (SDoC).</w:t>
      </w:r>
    </w:p>
    <w:p>
      <w:pPr>
        <w:pStyle w:val="Instructions"/>
      </w:pPr>
      <w:r>
        <w:rPr/>
        <w:t xml:space="preserve">Verification testing is undertaken by the supplier who first puts the product into the market in Australia or New Zealand. Attestation of compliance to AS/NZS 1252.2 (2016) takes the form of a SDoC, refer to AS/NZS 1252.2 (2016) clause 3.2.</w:t>
      </w:r>
    </w:p>
    <w:p>
      <w:pPr>
        <w:pStyle w:val="Instructions"/>
      </w:pPr>
      <w:r>
        <w:rPr/>
        <w:t xml:space="preserve">Note: The verification testing is additional to the testing required by AS/NZS 1252.1 (2016). If bolts not verified to AS/NZS 1252.2 (2016) are permissible, or verified bolts are not available, Appendix I of ASI TN001 (2019) recommends a batch testing regime, to be undertaken by the bolt supplier. Edit text above to suit.</w:t>
      </w:r>
    </w:p>
    <w:p>
      <w:pPr>
        <w:pStyle w:val="Instructions"/>
      </w:pPr>
      <w:r>
        <w:rPr/>
        <w:t xml:space="preserve">As all high-strength bolt assemblies are imported, these are essential requirements.</w:t>
      </w:r>
    </w:p>
    <w:p>
      <w:pPr>
        <w:pStyle w:val="Instructions"/>
      </w:pPr>
      <w:r>
        <w:rPr/>
        <w:t xml:space="preserve">ASI TN001 (2019) deals comprehensively with the relevant issues.</w:t>
      </w:r>
    </w:p>
    <w:p>
      <w:pPr>
        <w:pStyle w:val="Body Text"/>
      </w:pPr>
      <w:r>
        <w:rPr/>
        <w:t xml:space="preserve">Anchor bolts: If anchors, other than those documented, are required or proposed for supporting or fixing structural steel, submit evidence of the anchor capacity to carry the load.</w:t>
      </w:r>
    </w:p>
    <w:p>
      <w:pPr>
        <w:pStyle w:val="Body Text"/>
      </w:pPr>
      <w:r>
        <w:rPr/>
        <w:t xml:space="preserve">Substitution: If alternative sections or connections are proposed, submit details.</w:t>
      </w:r>
    </w:p>
    <w:bookmarkEnd w:id="74"/>
    <w:bookmarkStart w:name="f-10153-19" w:id="76"/>
    <w:p>
      <w:pPr>
        <w:pStyle w:val="Heading4"/>
      </w:pPr>
      <w:bookmarkStart w:name="h-10153-19" w:id="77"/>
      <w:r>
        <w:rPr/>
        <w:t xml:space="preserve">Records</w:t>
      </w:r>
      <w:bookmarkEnd w:id="77"/>
    </w:p>
    <w:p>
      <w:pPr>
        <w:pStyle w:val="Body Text"/>
      </w:pPr>
      <w:r>
        <w:rPr/>
        <w:t xml:space="preserve">Survey: Submit survey of erected structural steel to verify components have been installed as documented.</w:t>
      </w:r>
    </w:p>
    <w:p>
      <w:pPr>
        <w:pStyle w:val="Instructions"/>
      </w:pPr>
      <w:r>
        <w:rPr/>
        <w:t xml:space="preserve">Periodic surveys may be required for the project. If so, include here project stages where survey submissions are required.</w:t>
      </w:r>
    </w:p>
    <w:p>
      <w:pPr>
        <w:pStyle w:val="Instructions"/>
      </w:pPr>
      <w:r>
        <w:rPr/>
        <w:t xml:space="preserve">If a certificate from a licensed surveyor is required, document here.</w:t>
      </w:r>
    </w:p>
    <w:p>
      <w:pPr>
        <w:pStyle w:val="Body Text"/>
      </w:pPr>
      <w:r>
        <w:rPr/>
        <w:t xml:space="preserve">Drawings: Submit as-built structural drawings, upon completion.</w:t>
      </w:r>
    </w:p>
    <w:bookmarkEnd w:id="76"/>
    <w:bookmarkStart w:name="f-10153-20" w:id="78"/>
    <w:bookmarkStart w:name="f-18073" w:id="79"/>
    <w:bookmarkStart w:name="f-18073-1" w:id="80"/>
    <w:p>
      <w:pPr>
        <w:pStyle w:val="Heading4"/>
      </w:pPr>
      <w:bookmarkStart w:name="h-18073-1" w:id="81"/>
      <w:r>
        <w:rPr/>
        <w:t xml:space="preserve">Samples</w:t>
      </w:r>
      <w:bookmarkEnd w:id="8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0"/>
    <w:bookmarkEnd w:id="79"/>
    <w:bookmarkEnd w:id="78"/>
    <w:bookmarkStart w:name="f-10153-21" w:id="82"/>
    <w:p>
      <w:pPr>
        <w:pStyle w:val="Heading4"/>
      </w:pPr>
      <w:bookmarkStart w:name="h-10153-21" w:id="83"/>
      <w:r>
        <w:rPr/>
        <w:t xml:space="preserve">Shop detail documentation</w:t>
      </w:r>
      <w:bookmarkEnd w:id="83"/>
    </w:p>
    <w:p>
      <w:pPr>
        <w:pStyle w:val="Body Text"/>
      </w:pPr>
      <w:r>
        <w:rPr/>
        <w:t xml:space="preserve">General: Submit shop detail documentation to a scale that best describes the detail, conforming to AS/NZS 5131 (2016) clause 4.4.</w:t>
      </w:r>
    </w:p>
    <w:p>
      <w:pPr>
        <w:pStyle w:val="Instructions"/>
      </w:pPr>
      <w:r>
        <w:rPr/>
        <w:t xml:space="preserve">If erection drawings are to be prepared in addition to shop detail documentation, include requirements here. Refer to AS/NZS 5131 (2016) clause 11.7.</w:t>
      </w:r>
    </w:p>
    <w:p>
      <w:pPr>
        <w:pStyle w:val="Instructions"/>
      </w:pPr>
      <w:r>
        <w:rPr/>
        <w:t xml:space="preserve">Document any restrictions on fabrication methods arising from brittle fracture considerations set out in AS 4100 (2020) Section 10.</w:t>
      </w:r>
    </w:p>
    <w:p>
      <w:pPr>
        <w:pStyle w:val="Instructions"/>
      </w:pPr>
      <w:r>
        <w:rPr/>
        <w:t xml:space="preserve">See also ASI TN009 (2020) for guidelines on information to include in the documentation of structural steel.</w:t>
      </w:r>
    </w:p>
    <w:p>
      <w:pPr>
        <w:pStyle w:val="Prompt"/>
      </w:pPr>
      <w:r>
        <w:rPr/>
        <w:t xml:space="preserve">Drawing format: </w:t>
      </w:r>
      <w:r>
        <w:fldChar w:fldCharType="begin"/>
        <w:instrText xml:space="preserve"> MACROBUTTON  ac_OnHelp [complete/delete]</w:instrText>
        <w:fldChar w:fldCharType="separate"/>
        <w:t xml:space="preserve"> </w:t>
        <w:fldChar w:fldCharType="end"/>
      </w:r>
    </w:p>
    <w:p>
      <w:pPr>
        <w:pStyle w:val="Instructions"/>
      </w:pPr>
      <w:r>
        <w:rPr/>
        <w:t xml:space="preserve">Nominate the format for the shop detail documentation, e.g. 2D or 3D CAD, pdf, etc. Also, nominate if hard copy or digital copy only is required.</w:t>
      </w:r>
    </w:p>
    <w:p>
      <w:pPr>
        <w:pStyle w:val="Instructions"/>
      </w:pPr>
      <w:r>
        <w:rPr/>
        <w:t xml:space="preserve">Alternatively, shop detail documentation may be in the form of a building information model, refer to AS/NZS 5131 (2016) clause 4.3.</w:t>
      </w:r>
    </w:p>
    <w:p>
      <w:pPr>
        <w:pStyle w:val="Prompt"/>
      </w:pPr>
      <w:r>
        <w:rPr/>
        <w:t xml:space="preserve">Review of shop detail documentation: </w:t>
      </w:r>
      <w:r>
        <w:fldChar w:fldCharType="begin"/>
        <w:instrText xml:space="preserve"> MACROBUTTON  ac_OnHelp [complete/delete]</w:instrText>
        <w:fldChar w:fldCharType="separate"/>
        <w:t xml:space="preserve"> </w:t>
        <w:fldChar w:fldCharType="end"/>
      </w:r>
    </w:p>
    <w:p>
      <w:pPr>
        <w:pStyle w:val="Instructions"/>
      </w:pPr>
      <w:r>
        <w:rPr/>
        <w:t xml:space="preserve">Nominate the person(s)/organisation responsible for review of the shop documentation. Refer to AS/NZS 5131 (2016) clause 4.4.4.</w:t>
      </w:r>
    </w:p>
    <w:p>
      <w:pPr>
        <w:pStyle w:val="Body Text"/>
      </w:pPr>
      <w:r>
        <w:rPr/>
        <w:t xml:space="preserve">Fielders SlimFlor specific requirements: Include the following:</w:t>
      </w:r>
    </w:p>
    <w:p>
      <w:pPr>
        <w:pStyle w:val="NormalIndent"/>
      </w:pPr>
      <w:r>
        <w:rPr/>
        <w:t xml:space="preserve">Details of ASB / ASB(UC), including cross-sectional dimensions.</w:t>
      </w:r>
    </w:p>
    <w:p>
      <w:pPr>
        <w:pStyle w:val="NormalIndent"/>
      </w:pPr>
      <w:r>
        <w:rPr/>
        <w:t xml:space="preserve">Details of SlimDek 210 deck, including span direction and propping requirements.</w:t>
      </w:r>
    </w:p>
    <w:bookmarkEnd w:id="82"/>
    <w:bookmarkStart w:name="f-10153-22" w:id="84"/>
    <w:p>
      <w:pPr>
        <w:pStyle w:val="Heading4"/>
      </w:pPr>
      <w:bookmarkStart w:name="h-10153-22" w:id="85"/>
      <w:r>
        <w:rPr/>
        <w:t xml:space="preserve">Subcontractors</w:t>
      </w:r>
      <w:bookmarkEnd w:id="85"/>
    </w:p>
    <w:p>
      <w:pPr>
        <w:pStyle w:val="Body Text"/>
      </w:pPr>
      <w:r>
        <w:rPr/>
        <w:t xml:space="preserve">General: Submit names and contact details of proposed fabricator, detailer and installer.</w:t>
      </w:r>
    </w:p>
    <w:p>
      <w:pPr>
        <w:pStyle w:val="Instructions"/>
      </w:pPr>
      <w:r>
        <w:rPr/>
        <w:t xml:space="preserve">Refer to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 for information on fabricators such as QA, size, and special facilities. Delete if supplier/installer details are not required.</w:t>
      </w:r>
    </w:p>
    <w:p>
      <w:pPr>
        <w:pStyle w:val="Body Text"/>
      </w:pPr>
      <w:r>
        <w:rPr/>
        <w:t xml:space="preserve">Responsibilities: Submit names and contact details corresponding to the person/organisation assigned responsibility to the items listed in AS/NZS 5131 (2016) Table B3.</w:t>
      </w:r>
    </w:p>
    <w:p>
      <w:pPr>
        <w:pStyle w:val="Instructions"/>
      </w:pPr>
      <w:r>
        <w:rPr/>
        <w:t xml:space="preserve">In some instances AS/NZS 5131 (2016) requires, and the ASI recommends, the submission of names, CV’s, qualifications, roles and responsibilities for all key personnel. If requirements greater than those defined in AS/NZS 5131 (2016) are a project requirement, document such requirements here.</w:t>
      </w:r>
    </w:p>
    <w:bookmarkEnd w:id="84"/>
    <w:bookmarkStart w:name="f-10153-23" w:id="86"/>
    <w:p>
      <w:pPr>
        <w:pStyle w:val="Heading4"/>
      </w:pPr>
      <w:bookmarkStart w:name="h-10153-23" w:id="87"/>
      <w:r>
        <w:rPr/>
        <w:t xml:space="preserve">Tests</w:t>
      </w:r>
      <w:bookmarkEnd w:id="87"/>
    </w:p>
    <w:bookmarkStart w:name="f-22788" w:id="88"/>
    <w:bookmarkStart w:name="f-22788-1" w:id="89"/>
    <w:p>
      <w:pPr>
        <w:pStyle w:val="Instructions"/>
      </w:pPr>
      <w:r>
        <w:rPr/>
        <w:t xml:space="preserve">Detail the tests required in EXECUTION and list the submissions required here.</w:t>
      </w:r>
    </w:p>
    <w:bookmarkEnd w:id="89"/>
    <w:bookmarkEnd w:id="88"/>
    <w:p>
      <w:pPr>
        <w:pStyle w:val="Body Text"/>
      </w:pPr>
      <w:r>
        <w:rPr/>
        <w:t xml:space="preserve">Requirement: Submit test results, as follows:</w:t>
      </w:r>
    </w:p>
    <w:p>
      <w:pPr>
        <w:pStyle w:val="NormalIndent"/>
      </w:pPr>
      <w:r>
        <w:rPr/>
        <w:t xml:space="preserve">Bars and sections: Non-destructive tests.</w:t>
      </w:r>
    </w:p>
    <w:p>
      <w:pPr>
        <w:pStyle w:val="NormalIndent"/>
      </w:pPr>
      <w:r>
        <w:rPr/>
        <w:t xml:space="preserve">Plates: Ultrasonic tests.</w:t>
      </w:r>
    </w:p>
    <w:p>
      <w:pPr>
        <w:pStyle w:val="NormalIndent"/>
      </w:pPr>
      <w:r>
        <w:rPr/>
        <w:t xml:space="preserve">Welds: Non-destructive examinations.</w:t>
      </w:r>
    </w:p>
    <w:p>
      <w:pPr>
        <w:pStyle w:val="Instructions"/>
      </w:pPr>
      <w:r>
        <w:rPr/>
        <w:t xml:space="preserve">If any other testing, such as impact or production testing of welds is required, include a requirement here to submit results.</w:t>
      </w:r>
    </w:p>
    <w:bookmarkEnd w:id="86"/>
    <w:bookmarkStart w:name="f-10153-10153.7"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10153-25" w:id="94"/>
    <w:p>
      <w:pPr>
        <w:pStyle w:val="Heading3"/>
      </w:pPr>
      <w:bookmarkStart w:name="h-10153-25" w:id="95"/>
      <w:r>
        <w:rPr/>
        <w:t xml:space="preserve">INSPECTION</w:t>
      </w:r>
      <w:bookmarkEnd w:id="95"/>
    </w:p>
    <w:bookmarkEnd w:id="94"/>
    <w:bookmarkStart w:name="f-10153-26" w:id="96"/>
    <w:p>
      <w:pPr>
        <w:pStyle w:val="Heading4"/>
      </w:pPr>
      <w:bookmarkStart w:name="h-10153-26" w:id="97"/>
      <w:r>
        <w:rPr/>
        <w:t xml:space="preserve">Notice – off-site</w:t>
      </w:r>
      <w:bookmarkEnd w:id="97"/>
    </w:p>
    <w:p>
      <w:pPr>
        <w:pStyle w:val="Body Text"/>
      </w:pPr>
      <w:r>
        <w:rPr/>
        <w:t xml:space="preserve">Inspection: Give notice so that inspection may be made of the following:</w:t>
      </w:r>
    </w:p>
    <w:p>
      <w:pPr>
        <w:pStyle w:val="NormalIndent"/>
      </w:pPr>
      <w:r>
        <w:rPr/>
        <w:t xml:space="preserve">Materials including welding consumables before fabrication.</w:t>
      </w:r>
    </w:p>
    <w:p>
      <w:pPr>
        <w:pStyle w:val="NormalIndent"/>
      </w:pPr>
      <w:r>
        <w:rPr/>
        <w:t xml:space="preserve">Testing of welding procedures and welder qualification tests.</w:t>
      </w:r>
    </w:p>
    <w:p>
      <w:pPr>
        <w:pStyle w:val="NormalIndent"/>
      </w:pPr>
      <w:r>
        <w:rPr/>
        <w:t xml:space="preserve">Commencement of shop fabrication.</w:t>
      </w:r>
    </w:p>
    <w:p>
      <w:pPr>
        <w:pStyle w:val="NormalIndent"/>
      </w:pPr>
      <w:r>
        <w:rPr/>
        <w:t xml:space="preserve">Commencement of welding.</w:t>
      </w:r>
    </w:p>
    <w:p>
      <w:pPr>
        <w:pStyle w:val="NormalIndent"/>
      </w:pPr>
      <w:r>
        <w:rPr/>
        <w:t xml:space="preserve">Complete penetration butt welds before the placement of root runs.</w:t>
      </w:r>
    </w:p>
    <w:p>
      <w:pPr>
        <w:pStyle w:val="NormalIndent"/>
      </w:pPr>
      <w:r>
        <w:rPr/>
        <w:t xml:space="preserve">High-strength bolt tensioning (when completed off-site).</w:t>
      </w:r>
    </w:p>
    <w:p>
      <w:pPr>
        <w:pStyle w:val="NormalIndent"/>
      </w:pPr>
      <w:r>
        <w:rPr/>
        <w:t xml:space="preserve">Completion of fabrication before surface preparation.</w:t>
      </w:r>
    </w:p>
    <w:p>
      <w:pPr>
        <w:pStyle w:val="NormalIndent"/>
      </w:pPr>
      <w:r>
        <w:rPr/>
        <w:t xml:space="preserve">Surface preparation before protective coating.</w:t>
      </w:r>
    </w:p>
    <w:p>
      <w:pPr>
        <w:pStyle w:val="NormalIndent"/>
      </w:pPr>
      <w:r>
        <w:rPr/>
        <w:t xml:space="preserve">Completion of protective coating before delivery to site.</w:t>
      </w:r>
    </w:p>
    <w:p>
      <w:pPr>
        <w:pStyle w:val="Instructions"/>
      </w:pPr>
      <w:r>
        <w:rPr/>
        <w:t xml:space="preserve">Edit to suit the project, if necessary.</w:t>
      </w:r>
    </w:p>
    <w:bookmarkEnd w:id="96"/>
    <w:bookmarkStart w:name="f-10153-27" w:id="98"/>
    <w:p>
      <w:pPr>
        <w:pStyle w:val="Heading4"/>
      </w:pPr>
      <w:bookmarkStart w:name="h-10153-27" w:id="99"/>
      <w:r>
        <w:rPr/>
        <w:t xml:space="preserve">Notice – on-site</w:t>
      </w:r>
      <w:bookmarkEnd w:id="99"/>
    </w:p>
    <w:p>
      <w:pPr>
        <w:pStyle w:val="Body Text"/>
      </w:pPr>
      <w:r>
        <w:rPr/>
        <w:t xml:space="preserve">Inspection: Give notice so that inspection may be made of the following:</w:t>
      </w:r>
    </w:p>
    <w:p>
      <w:pPr>
        <w:pStyle w:val="NormalIndent"/>
      </w:pPr>
      <w:r>
        <w:rPr/>
        <w:t xml:space="preserve">Steelwork on-site before erection.</w:t>
      </w:r>
    </w:p>
    <w:p>
      <w:pPr>
        <w:pStyle w:val="NormalIndent"/>
      </w:pPr>
      <w:r>
        <w:rPr/>
        <w:t xml:space="preserve">Anchor bolts in position before casting in.</w:t>
      </w:r>
    </w:p>
    <w:p>
      <w:pPr>
        <w:pStyle w:val="NormalIndent"/>
      </w:pPr>
      <w:r>
        <w:rPr/>
        <w:t xml:space="preserve">Steelwork and column bases erected on site, before grouting, encasing, site protective coating or cladding.</w:t>
      </w:r>
    </w:p>
    <w:p>
      <w:pPr>
        <w:pStyle w:val="NormalIndent"/>
      </w:pPr>
      <w:r>
        <w:rPr/>
        <w:t xml:space="preserve">Tensioning of bolts in categories 8.8/TB, 8.8/TF, 10.9/TB and 10.9/TF.</w:t>
      </w:r>
    </w:p>
    <w:p>
      <w:pPr>
        <w:pStyle w:val="Instructions"/>
      </w:pPr>
      <w:r>
        <w:rPr/>
        <w:t xml:space="preserve">Note: TF is friction-type and TB is bearing-type as defined in AS 4100 (2020) clause 1.3.</w:t>
      </w:r>
    </w:p>
    <w:p>
      <w:pPr>
        <w:pStyle w:val="NormalIndent"/>
      </w:pPr>
      <w:r>
        <w:rPr/>
        <w:t xml:space="preserve">Reinforcement and formwork in place before any encasement.</w:t>
      </w:r>
    </w:p>
    <w:p>
      <w:pPr>
        <w:pStyle w:val="NormalIndent"/>
      </w:pPr>
      <w:r>
        <w:rPr/>
        <w:t xml:space="preserve">Completed grouting, encasement, fire protection or site applied protective coating.</w:t>
      </w:r>
    </w:p>
    <w:p>
      <w:pPr>
        <w:pStyle w:val="NormalIndent"/>
      </w:pPr>
      <w:r>
        <w:rPr/>
        <w:t xml:space="preserve">Installed ASB / ASB(UC) and SlimDek 210 deck before placement of any concrete.</w:t>
      </w:r>
    </w:p>
    <w:p>
      <w:pPr>
        <w:pStyle w:val="Instructions"/>
      </w:pPr>
      <w:r>
        <w:rPr/>
        <w:t xml:space="preserve">Edit to suit the project, adding critical stage or mandatory inspections required by legislation or regulation.</w:t>
      </w:r>
    </w:p>
    <w:p>
      <w:pPr>
        <w:pStyle w:val="Instructions"/>
      </w:pPr>
      <w:r>
        <w:rPr>
          <w:b/>
        </w:rPr>
        <w:t xml:space="preserve">Hold points</w:t>
      </w:r>
      <w:r>
        <w:rPr/>
        <w:t xml:space="preserve">, if required, should be inserted here.</w:t>
      </w:r>
    </w:p>
    <w:bookmarkEnd w:id="98"/>
    <w:bookmarkStart w:name="f-10153-10153.8" w:id="100"/>
    <w:p>
      <w:pPr>
        <w:pStyle w:val="OptionalHeading4"/>
      </w:pPr>
      <w:bookmarkStart w:name="h-10153-10153.8" w:id="101"/>
      <w:r>
        <w:rPr/>
        <w:t xml:space="preserve">Notice – on-site</w:t>
      </w:r>
      <w:bookmarkEnd w:id="101"/>
    </w:p>
    <w:p>
      <w:pPr>
        <w:pStyle w:val="OptionalNormal"/>
      </w:pPr>
      <w:r>
        <w:rPr/>
        <w:t xml:space="preserve">Inspection: Give notice so that inspection may be made of the following:</w:t>
      </w:r>
    </w:p>
    <w:p>
      <w:pPr>
        <w:pStyle w:val="OptionalNormalIndent"/>
      </w:pPr>
      <w:r>
        <w:rPr/>
        <w:t xml:space="preserve">Mechanical or chemical anchor proof load testing.</w:t>
      </w:r>
    </w:p>
    <w:p>
      <w:pPr>
        <w:pStyle w:val="OptionalNormalIndent"/>
      </w:pPr>
      <w:r>
        <w:rPr/>
        <w:t xml:space="preserve">The loading and unloading of temporary works.</w:t>
      </w:r>
    </w:p>
    <w:p>
      <w:pPr>
        <w:pStyle w:val="Instructions"/>
      </w:pPr>
      <w:r>
        <w:rPr/>
        <w:t xml:space="preserve">Edit to suit the project, if necessary.</w:t>
      </w:r>
    </w:p>
    <w:p>
      <w:pPr>
        <w:pStyle w:val="Instructions"/>
      </w:pPr>
      <w:r>
        <w:rPr/>
        <w:t xml:space="preserve">If either of the last two points above are a project requirement, consider including this </w:t>
      </w:r>
      <w:r>
        <w:rPr>
          <w:i/>
        </w:rPr>
        <w:t xml:space="preserve">Optional</w:t>
      </w:r>
      <w:r>
        <w:rPr/>
        <w:t xml:space="preserve"> style text by changing to </w:t>
      </w:r>
      <w:r>
        <w:rPr>
          <w:i/>
        </w:rPr>
        <w:t xml:space="preserve">Normal</w:t>
      </w:r>
      <w:r>
        <w:rPr/>
        <w:t xml:space="preserve"> style text.</w:t>
      </w:r>
    </w:p>
    <w:bookmarkEnd w:id="100"/>
    <w:bookmarkEnd w:id="28"/>
    <w:bookmarkStart w:name="f-10152" w:id="102"/>
    <w:bookmarkStart w:name="f-10152-1" w:id="103"/>
    <w:p>
      <w:pPr>
        <w:pStyle w:val="Heading2"/>
      </w:pPr>
      <w:bookmarkStart w:name="h-10152-1" w:id="104"/>
      <w:r>
        <w:rPr/>
        <w:t xml:space="preserve">PRODUCTS</w:t>
      </w:r>
      <w:bookmarkEnd w:id="104"/>
    </w:p>
    <w:bookmarkEnd w:id="103"/>
    <w:bookmarkStart w:name="f-10152-2" w:id="105"/>
    <w:p>
      <w:pPr>
        <w:pStyle w:val="Heading3"/>
      </w:pPr>
      <w:bookmarkStart w:name="h-10152-2" w:id="106"/>
      <w:r>
        <w:rPr/>
        <w:t xml:space="preserve">GENERAL</w:t>
      </w:r>
      <w:bookmarkEnd w:id="106"/>
    </w:p>
    <w:bookmarkEnd w:id="105"/>
    <w:bookmarkStart w:name="f-10152-10152.1" w:id="107"/>
    <w:bookmarkStart w:name="f-8385" w:id="108"/>
    <w:bookmarkStart w:name="f-8385-2" w:id="109"/>
    <w:p>
      <w:pPr>
        <w:pStyle w:val="Heading4"/>
      </w:pPr>
      <w:bookmarkStart w:name="h-8385-2" w:id="110"/>
      <w:r>
        <w:rPr/>
        <w:t xml:space="preserve">Product substitution</w:t>
      </w:r>
      <w:bookmarkEnd w:id="110"/>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9"/>
    <w:bookmarkStart w:name="f-8385-3" w:id="111"/>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1"/>
    <w:bookmarkEnd w:id="108"/>
    <w:bookmarkEnd w:id="107"/>
    <w:bookmarkStart w:name="f-10152-10152.5" w:id="112"/>
    <w:p>
      <w:pPr>
        <w:pStyle w:val="Heading4"/>
      </w:pPr>
      <w:bookmarkStart w:name="h-10152-10152.5" w:id="113"/>
      <w:r>
        <w:rPr/>
        <w:t xml:space="preserve">Samples</w:t>
      </w:r>
      <w:bookmarkEnd w:id="113"/>
    </w:p>
    <w:p>
      <w:pPr>
        <w:pStyle w:val="Body Text"/>
      </w:pPr>
      <w:r>
        <w:rPr/>
        <w:t xml:space="preserve">Requirement: Provide samples, as follows:</w:t>
      </w:r>
    </w:p>
    <w:p>
      <w:pPr>
        <w:pStyle w:val="NormalIndent"/>
      </w:pPr>
      <w:r>
        <w:rPr/>
        <w:t xml:space="preserve">AESS, as documented.</w:t>
      </w:r>
    </w:p>
    <w:p>
      <w:pPr>
        <w:pStyle w:val="Instructions"/>
      </w:pPr>
      <w:r>
        <w:rPr/>
        <w:t xml:space="preserve">Document requirements in the </w:t>
      </w:r>
      <w:r>
        <w:rPr>
          <w:b/>
        </w:rPr>
        <w:t xml:space="preserve">AESS schedule</w:t>
      </w:r>
      <w:r>
        <w:rPr/>
        <w:t xml:space="preserve"> or delete if not required.</w:t>
      </w:r>
    </w:p>
    <w:p>
      <w:pPr>
        <w:pStyle w:val="NormalIndent"/>
      </w:pPr>
      <w:r>
        <w:rPr/>
        <w:t xml:space="preserve">Special finishes for finished steel, as documented.</w:t>
      </w:r>
    </w:p>
    <w:p>
      <w:pPr>
        <w:pStyle w:val="Instructions"/>
      </w:pPr>
      <w:r>
        <w:rPr/>
        <w:t xml:space="preserve">Document requirements in the </w:t>
      </w:r>
      <w:r>
        <w:rPr>
          <w:b/>
        </w:rPr>
        <w:t xml:space="preserve">Special finishes schedule</w:t>
      </w:r>
      <w:r>
        <w:rPr/>
        <w:t xml:space="preserve">.</w:t>
      </w:r>
    </w:p>
    <w:p>
      <w:pPr>
        <w:pStyle w:val="Body Text"/>
      </w:pPr>
      <w:r>
        <w:rPr/>
        <w:t xml:space="preserve">Sample size: Minimum 0.1 m</w:t>
      </w:r>
      <w:r>
        <w:rPr>
          <w:vertAlign w:val="superscript"/>
        </w:rPr>
        <w:t xml:space="preserve">2</w:t>
      </w:r>
      <w:r>
        <w:rPr/>
        <w:t xml:space="preserve">.</w:t>
      </w:r>
    </w:p>
    <w:bookmarkEnd w:id="112"/>
    <w:bookmarkStart w:name="f-10152-3" w:id="114"/>
    <w:p>
      <w:pPr>
        <w:pStyle w:val="Heading4"/>
      </w:pPr>
      <w:bookmarkStart w:name="h-10152-3" w:id="115"/>
      <w:r>
        <w:rPr/>
        <w:t xml:space="preserve">Materials</w:t>
      </w:r>
      <w:bookmarkEnd w:id="115"/>
    </w:p>
    <w:p>
      <w:pPr>
        <w:pStyle w:val="Body Text"/>
      </w:pPr>
      <w:r>
        <w:rPr/>
        <w:t xml:space="preserve">Requirement: To AS/NZS 5131 (2016) Section 5.</w:t>
      </w:r>
    </w:p>
    <w:bookmarkEnd w:id="114"/>
    <w:bookmarkStart w:name="f-10152-4" w:id="116"/>
    <w:p>
      <w:pPr>
        <w:pStyle w:val="Heading4"/>
      </w:pPr>
      <w:bookmarkStart w:name="h-10152-4" w:id="117"/>
      <w:r>
        <w:rPr/>
        <w:t xml:space="preserve">Storage and handling</w:t>
      </w:r>
      <w:bookmarkEnd w:id="117"/>
    </w:p>
    <w:p>
      <w:pPr>
        <w:pStyle w:val="Body Text"/>
      </w:pPr>
      <w:r>
        <w:rPr/>
        <w:t xml:space="preserve">Requirement: Pack, support, transport and handle members and components without overstressing, deforming or damaging them or their protective coating.</w:t>
      </w:r>
    </w:p>
    <w:p>
      <w:pPr>
        <w:pStyle w:val="Instructions"/>
      </w:pPr>
      <w:r>
        <w:rPr/>
        <w:t xml:space="preserve">Refer to AS/NZS 5131 (2016) clause 6.11.</w:t>
      </w:r>
    </w:p>
    <w:p>
      <w:pPr>
        <w:pStyle w:val="Body Text"/>
      </w:pPr>
      <w:r>
        <w:rPr/>
        <w:t xml:space="preserve">Damaged items: Rectify or replace. Do not assemble into the structure without approval.</w:t>
      </w:r>
    </w:p>
    <w:p>
      <w:pPr>
        <w:pStyle w:val="Body Text"/>
      </w:pPr>
      <w:r>
        <w:rPr/>
        <w:t xml:space="preserve">Protection: Wrap or otherwise protect members or components to prevent damage to surface finishes during handling and erection.</w:t>
      </w:r>
    </w:p>
    <w:p>
      <w:pPr>
        <w:pStyle w:val="Body Text"/>
      </w:pPr>
      <w:r>
        <w:rPr/>
        <w:t xml:space="preserve">Storage: Store off the ground.</w:t>
      </w:r>
    </w:p>
    <w:p>
      <w:pPr>
        <w:pStyle w:val="Body Text"/>
      </w:pPr>
      <w:r>
        <w:rPr/>
        <w:t xml:space="preserve">Lifting points: Do not allow steel slings to come into direct contact with coated steelwork.</w:t>
      </w:r>
    </w:p>
    <w:bookmarkEnd w:id="116"/>
    <w:bookmarkStart w:name="f-10152-5" w:id="118"/>
    <w:p>
      <w:pPr>
        <w:pStyle w:val="Heading4"/>
      </w:pPr>
      <w:bookmarkStart w:name="h-10152-5" w:id="119"/>
      <w:r>
        <w:rPr/>
        <w:t xml:space="preserve">Purchasing and traceability</w:t>
      </w:r>
      <w:bookmarkEnd w:id="119"/>
    </w:p>
    <w:p>
      <w:pPr>
        <w:pStyle w:val="Body Text"/>
      </w:pPr>
      <w:r>
        <w:rPr/>
        <w:t xml:space="preserve">Purchasing documentation and procedure: To AS/NZS 5131 (2016) clause 4.6.</w:t>
      </w:r>
    </w:p>
    <w:p>
      <w:pPr>
        <w:pStyle w:val="Instructions"/>
      </w:pPr>
      <w:r>
        <w:rPr/>
        <w:t xml:space="preserve">All stakeholders in the supply chain need to implement systems to support the requirements of AS/NZS 5131 (2016). Importantly, the purchasing process needs to maintain continuity of requirements.</w:t>
      </w:r>
    </w:p>
    <w:p>
      <w:pPr>
        <w:pStyle w:val="Body Text"/>
      </w:pPr>
      <w:r>
        <w:rPr/>
        <w:t xml:space="preserve">Level of traceability: To AS/NZS 5131 (2016) clause 5.2.3 and the types defined in AS/NZS 5131 (2016) clause 4.7.</w:t>
      </w:r>
    </w:p>
    <w:p>
      <w:pPr>
        <w:pStyle w:val="Instructions"/>
      </w:pPr>
      <w:r>
        <w:rPr/>
        <w:t xml:space="preserve">If piece or piece-mark traceability is required for CC3 or CC4, include such requirements here.</w:t>
      </w:r>
    </w:p>
    <w:bookmarkEnd w:id="118"/>
    <w:bookmarkStart w:name="f-10152-6" w:id="120"/>
    <w:p>
      <w:pPr>
        <w:pStyle w:val="Heading3"/>
      </w:pPr>
      <w:bookmarkStart w:name="h-10152-6" w:id="121"/>
      <w:r>
        <w:rPr/>
        <w:t xml:space="preserve">STRUCTURAL STEEL</w:t>
      </w:r>
      <w:bookmarkEnd w:id="121"/>
    </w:p>
    <w:bookmarkEnd w:id="120"/>
    <w:bookmarkStart w:name="f-10152-7" w:id="122"/>
    <w:p>
      <w:pPr>
        <w:pStyle w:val="Heading4"/>
      </w:pPr>
      <w:bookmarkStart w:name="h-10152-7" w:id="123"/>
      <w:r>
        <w:rPr/>
        <w:t xml:space="preserve">Steel members and sections steel grade table</w:t>
      </w:r>
      <w:bookmarkEnd w:id="123"/>
    </w:p>
    <w:tbl>
      <w:tblPr>
        <w:tblStyle w:val="NATSPECTable"/>
        <w:tblW w:w="5000" w:type="pct"/>
        <w:tblLook w:firstRow="1" w:lastRow="0" w:firstColumn="0" w:lastColumn="0"/>
      </w:tblPr>
      <w:tr>
        <w:trPr>
          <w:tblHeader/>
        </w:trPr>
        <w:tc>
          <w:tcPr>
            <w:tcW w:w="50%" w:type="pct"/>
          </w:tcPr>
          <w:p>
            <w:pPr>
              <w:pStyle w:val="Tabletitle"/>
            </w:pPr>
            <w:r>
              <w:rPr/>
              <w:t xml:space="preserve">Type of steel</w:t>
            </w:r>
          </w:p>
        </w:tc>
        <w:tc>
          <w:tcPr>
            <w:tcW w:w="50%" w:type="pct"/>
          </w:tcPr>
          <w:p>
            <w:pPr>
              <w:pStyle w:val="Tabletitle"/>
            </w:pPr>
            <w:r>
              <w:rPr/>
              <w:t xml:space="preserve">Minimum grade</w:t>
            </w:r>
          </w:p>
        </w:tc>
      </w:tr>
      <w:tr>
        <w:trPr/>
        <w:tc>
          <w:tcPr>
            <w:tcW w:w="50%" w:type="pct"/>
          </w:tcPr>
          <w:p>
            <w:pPr>
              <w:pStyle w:val="Tabletext"/>
            </w:pPr>
            <w:r>
              <w:rPr/>
              <w:t xml:space="preserve">Hot-rolled sections to AS/NZS 3679.1 (2016) and SA TS 102 (2016)</w:t>
            </w:r>
          </w:p>
        </w:tc>
        <w:tc>
          <w:tcPr>
            <w:tcW w:w="50%" w:type="pct"/>
          </w:tcPr>
          <w:p>
            <w:pPr>
              <w:pStyle w:val="Tabletext"/>
            </w:pPr>
            <w:r>
              <w:rPr/>
              <w:t xml:space="preserve">300</w:t>
            </w:r>
          </w:p>
        </w:tc>
      </w:tr>
      <w:tr>
        <w:trPr/>
        <w:tc>
          <w:tcPr>
            <w:tcW w:w="50%" w:type="pct"/>
          </w:tcPr>
          <w:p>
            <w:pPr>
              <w:pStyle w:val="Tabletext"/>
            </w:pPr>
            <w:r>
              <w:rPr/>
              <w:t xml:space="preserve">Welded sections to AS/NZS 3679.2 (2016)</w:t>
            </w:r>
          </w:p>
        </w:tc>
        <w:tc>
          <w:tcPr>
            <w:tcW w:w="50%" w:type="pct"/>
          </w:tcPr>
          <w:p>
            <w:pPr>
              <w:pStyle w:val="Tabletext"/>
            </w:pPr>
            <w:r>
              <w:rPr/>
              <w:t xml:space="preserve">300</w:t>
            </w:r>
          </w:p>
        </w:tc>
      </w:tr>
      <w:tr>
        <w:trPr/>
        <w:tc>
          <w:tcPr>
            <w:tcW w:w="50%" w:type="pct"/>
          </w:tcPr>
          <w:p>
            <w:pPr>
              <w:pStyle w:val="Tabletext"/>
            </w:pPr>
            <w:r>
              <w:rPr/>
              <w:t xml:space="preserve">Hot-rolled plates, floor plates and slabs to AS/NZS 3678 (2016) and SA TS 102 (2016)</w:t>
            </w:r>
          </w:p>
        </w:tc>
        <w:tc>
          <w:tcPr>
            <w:tcW w:w="50%" w:type="pct"/>
          </w:tcPr>
          <w:p>
            <w:pPr>
              <w:pStyle w:val="Tabletext"/>
            </w:pPr>
            <w:r>
              <w:rPr/>
              <w:t xml:space="preserve">250</w:t>
            </w:r>
          </w:p>
        </w:tc>
      </w:tr>
      <w:tr>
        <w:trPr/>
        <w:tc>
          <w:tcPr>
            <w:tcW w:w="50%" w:type="pct"/>
          </w:tcPr>
          <w:p>
            <w:pPr>
              <w:pStyle w:val="Tabletext"/>
            </w:pPr>
            <w:r>
              <w:rPr/>
              <w:t xml:space="preserve">Hot-rolled flat products to AS/NZS 1594 (2002)</w:t>
            </w:r>
          </w:p>
        </w:tc>
        <w:tc>
          <w:tcPr>
            <w:tcW w:w="50%" w:type="pct"/>
          </w:tcPr>
          <w:p>
            <w:pPr>
              <w:pStyle w:val="Tabletext"/>
            </w:pPr>
            <w:r>
              <w:rPr/>
              <w:t xml:space="preserve">HA250</w:t>
            </w:r>
          </w:p>
        </w:tc>
      </w:tr>
      <w:tr>
        <w:trPr/>
        <w:tc>
          <w:tcPr>
            <w:tcW w:w="50%" w:type="pct"/>
          </w:tcPr>
          <w:p>
            <w:pPr>
              <w:pStyle w:val="Tabletext"/>
            </w:pPr>
            <w:r>
              <w:rPr/>
              <w:t xml:space="preserve">Hollow sections to AS/NZS 1163 (2016) and SA TS 102 (2016): Circular sections less than 166 mm nominal outside diameter</w:t>
            </w:r>
          </w:p>
        </w:tc>
        <w:tc>
          <w:tcPr>
            <w:tcW w:w="50%" w:type="pct"/>
          </w:tcPr>
          <w:p>
            <w:pPr>
              <w:pStyle w:val="Tabletext"/>
            </w:pPr>
            <w:r>
              <w:rPr/>
              <w:t xml:space="preserve">C250</w:t>
            </w:r>
          </w:p>
        </w:tc>
      </w:tr>
      <w:tr>
        <w:trPr/>
        <w:tc>
          <w:tcPr>
            <w:tcW w:w="50%" w:type="pct"/>
          </w:tcPr>
          <w:p>
            <w:pPr>
              <w:pStyle w:val="Tabletext"/>
            </w:pPr>
            <w:r>
              <w:rPr/>
              <w:t xml:space="preserve">Hollow sections to AS/NZS 1163 (2016) and SA TS 102 (2016): Sections other than circular sections less than 166 mm nominal outside diameter</w:t>
            </w:r>
          </w:p>
        </w:tc>
        <w:tc>
          <w:tcPr>
            <w:tcW w:w="50%" w:type="pct"/>
          </w:tcPr>
          <w:p>
            <w:pPr>
              <w:pStyle w:val="Tabletext"/>
            </w:pPr>
            <w:r>
              <w:rPr/>
              <w:t xml:space="preserve">C350</w:t>
            </w:r>
          </w:p>
        </w:tc>
      </w:tr>
      <w:tr>
        <w:trPr/>
        <w:tc>
          <w:tcPr>
            <w:tcW w:w="50%" w:type="pct"/>
          </w:tcPr>
          <w:p>
            <w:pPr>
              <w:pStyle w:val="Tabletext"/>
            </w:pPr>
            <w:r>
              <w:rPr/>
              <w:t xml:space="preserve">Cold-formed purlins and girts to AS 1397 (2021)</w:t>
            </w:r>
          </w:p>
        </w:tc>
        <w:tc>
          <w:tcPr>
            <w:tcW w:w="50%" w:type="pct"/>
          </w:tcPr>
          <w:p>
            <w:pPr>
              <w:pStyle w:val="Tabletext"/>
            </w:pPr>
            <w:r>
              <w:rPr/>
              <w:t xml:space="preserve">G450, Z350</w:t>
            </w:r>
          </w:p>
        </w:tc>
      </w:tr>
      <w:tr>
        <w:trPr/>
        <w:tc>
          <w:tcPr>
            <w:tcW w:w="50%" w:type="pct"/>
          </w:tcPr>
          <w:p>
            <w:pPr>
              <w:pStyle w:val="Tabletext"/>
            </w:pPr>
            <w:r>
              <w:rPr/>
              <w:t xml:space="preserve">ASB / ASB(UC)</w:t>
            </w:r>
          </w:p>
        </w:tc>
        <w:tc>
          <w:tcPr>
            <w:tcW w:w="50%" w:type="pct"/>
          </w:tcPr>
          <w:p>
            <w:pPr>
              <w:pStyle w:val="Tabletext"/>
            </w:pPr>
            <w:r>
              <w:rPr/>
              <w:t xml:space="preserve">G300</w:t>
            </w:r>
          </w:p>
        </w:tc>
      </w:tr>
      <w:tr>
        <w:trPr/>
        <w:tc>
          <w:tcPr>
            <w:tcW w:w="50%" w:type="pct"/>
          </w:tcPr>
          <w:p>
            <w:pPr>
              <w:pStyle w:val="Tabletext"/>
            </w:pPr>
            <w:r>
              <w:rPr/>
              <w:t xml:space="preserve">Fielders SlimDek 210 deck</w:t>
            </w:r>
          </w:p>
        </w:tc>
        <w:tc>
          <w:tcPr>
            <w:tcW w:w="50%" w:type="pct"/>
          </w:tcPr>
          <w:p>
            <w:pPr>
              <w:pStyle w:val="Tabletext"/>
            </w:pPr>
            <w:r>
              <w:rPr/>
              <w:t xml:space="preserve">G500, Z350</w:t>
            </w:r>
          </w:p>
        </w:tc>
      </w:tr>
    </w:tbl>
    <w:p>
      <w:r>
        <w:t xml:space="preserve"> </w:t>
      </w:r>
    </w:p>
    <w:p>
      <w:pPr>
        <w:pStyle w:val="Instructions"/>
      </w:pPr>
      <w:r>
        <w:rPr/>
        <w:t xml:space="preserve">The values given in the table are the minimum grades commonly available. If the grade required on a project is higher than the values tabulated, edit the values to suit the project. Refer to the manufacturer for the available steel grades.</w:t>
      </w:r>
    </w:p>
    <w:p>
      <w:pPr>
        <w:pStyle w:val="Instructions"/>
      </w:pPr>
      <w:r>
        <w:rPr/>
        <w:t xml:space="preserve">For cold-formed purlins and girts, specify the steel grade in conjunction with the hot-dip galvanized coating mass. A coating designation of Z350 denotes a coating mass of 350 g/m</w:t>
      </w:r>
      <w:r>
        <w:rPr>
          <w:vertAlign w:val="superscript"/>
        </w:rPr>
        <w:t xml:space="preserve">2</w:t>
      </w:r>
      <w:r>
        <w:rPr/>
        <w:t xml:space="preserve">.</w:t>
      </w:r>
    </w:p>
    <w:p>
      <w:pPr>
        <w:pStyle w:val="Instructions"/>
      </w:pPr>
      <w:r>
        <w:rPr/>
        <w:t xml:space="preserve">See AS 4100 (2020) clause 2.2. If steel is not identified or tested for conformance, it needs to be downgraded as required by AS 4100 (2020) clause 2.2.3.</w:t>
      </w:r>
    </w:p>
    <w:p>
      <w:pPr>
        <w:pStyle w:val="Instructions"/>
      </w:pPr>
      <w:r>
        <w:rPr/>
        <w:t xml:space="preserve">The ASB / ASB(UC) is available in typical range of G300, G350 and G400 MPa. Note that the span tables in </w:t>
      </w:r>
      <w:r>
        <w:rPr>
          <w:i/>
        </w:rPr>
        <w:t xml:space="preserve">Fielders Fact File F.3.5 (2018)</w:t>
      </w:r>
      <w:r>
        <w:rPr/>
        <w:t xml:space="preserve"> have used G350 for the calculations.</w:t>
      </w:r>
    </w:p>
    <w:bookmarkEnd w:id="122"/>
    <w:bookmarkStart w:name="f-10152-8" w:id="124"/>
    <w:p>
      <w:pPr>
        <w:pStyle w:val="Heading4"/>
      </w:pPr>
      <w:bookmarkStart w:name="h-10152-8" w:id="125"/>
      <w:r>
        <w:rPr/>
        <w:t xml:space="preserve">Certification</w:t>
      </w:r>
      <w:bookmarkEnd w:id="125"/>
    </w:p>
    <w:p>
      <w:pPr>
        <w:pStyle w:val="Body Text"/>
      </w:pPr>
      <w:r>
        <w:rPr/>
        <w:t xml:space="preserve">Steel: Minimum requirements for test and inspection certificates, to the following:</w:t>
      </w:r>
    </w:p>
    <w:p>
      <w:pPr>
        <w:pStyle w:val="NormalIndent"/>
      </w:pPr>
      <w:r>
        <w:rPr/>
        <w:t xml:space="preserve">Hot-rolled bars and sections: To AS/NZS 3679.1 (2016) clause 11.2.4.</w:t>
      </w:r>
    </w:p>
    <w:p>
      <w:pPr>
        <w:pStyle w:val="NormalIndent"/>
      </w:pPr>
      <w:r>
        <w:rPr/>
        <w:t xml:space="preserve">Welded I sections: To AS/NZS 3679.2 (2016) clause 11.2.4.</w:t>
      </w:r>
    </w:p>
    <w:p>
      <w:pPr>
        <w:pStyle w:val="NormalIndent"/>
      </w:pPr>
      <w:r>
        <w:rPr/>
        <w:t xml:space="preserve">Hot-rolled plates: To AS/NZS 3678 (2016) clause 11.2.4.</w:t>
      </w:r>
    </w:p>
    <w:p>
      <w:pPr>
        <w:pStyle w:val="NormalIndent"/>
      </w:pPr>
      <w:r>
        <w:rPr/>
        <w:t xml:space="preserve">Cold-formed hollow sections: To AS/NZS 1163 (2016) clause 11.2.4.</w:t>
      </w:r>
    </w:p>
    <w:p>
      <w:pPr>
        <w:pStyle w:val="Instructions"/>
      </w:pPr>
      <w:r>
        <w:rPr/>
        <w:t xml:space="preserve">Make sure test certificates are written in alphanumeric English and include the chemical composition of the steel.</w:t>
      </w:r>
    </w:p>
    <w:p>
      <w:pPr>
        <w:pStyle w:val="Instructions"/>
      </w:pPr>
      <w:r>
        <w:rPr/>
        <w:t xml:space="preserve">The ASI recommends that all steel be sourced from mills certified by an organisation with relevant JAS ANZ accreditation, e.g. The </w:t>
      </w:r>
      <w:r>
        <w:rPr>
          <w:i/>
        </w:rPr>
        <w:t xml:space="preserve">Australian Certification Authority for Reinforcing and Structural Steels (ACRS)</w:t>
      </w:r>
      <w:r>
        <w:rPr/>
        <w:t xml:space="preserve"> who certify manufacturers and suppliers of steel reinforcing, steel prestressing and structural steel under the ACRS scheme (see </w:t>
      </w:r>
      <w:r>
        <w:fldChar w:fldCharType="begin"/>
      </w:r>
      <w:r>
        <w:instrText xml:space="preserve"> HYPERLINK "https://www.steelcertification.com/" </w:instrText>
      </w:r>
      <w:r>
        <w:fldChar w:fldCharType="separate"/>
      </w:r>
      <w:r>
        <w:rPr>
          <w:rStyle w:val="Hyperlink"/>
        </w:rPr>
        <w:t>www.steelcertification.com</w:t>
      </w:r>
      <w:r>
        <w:fldChar w:fldCharType="end"/>
      </w:r>
      <w:r>
        <w:rPr/>
        <w:t xml:space="preserve">). If certification to this (or any alternative) scheme is a project requirement, document such requirements here.</w:t>
      </w:r>
    </w:p>
    <w:p>
      <w:pPr>
        <w:pStyle w:val="Instructions"/>
      </w:pPr>
      <w:r>
        <w:rPr/>
        <w:t xml:space="preserve">Refer to ASI TN014 (2020) for more information on the relevant Standards and certification schemes available for structural steel.</w:t>
      </w:r>
    </w:p>
    <w:bookmarkEnd w:id="124"/>
    <w:bookmarkStart w:name="f-10152-9" w:id="126"/>
    <w:p>
      <w:pPr>
        <w:pStyle w:val="OptionalHeading4"/>
      </w:pPr>
      <w:bookmarkStart w:name="h-10152-9" w:id="127"/>
      <w:r>
        <w:rPr/>
        <w:t xml:space="preserve">Environmentally sustainable steelwork</w:t>
      </w:r>
      <w:bookmarkEnd w:id="127"/>
    </w:p>
    <w:p>
      <w:pPr>
        <w:pStyle w:val="OptionalNormal"/>
      </w:pPr>
      <w:r>
        <w:rPr/>
        <w:t xml:space="preserve">Requirement: Conform to the following:</w:t>
      </w:r>
    </w:p>
    <w:p>
      <w:pPr>
        <w:pStyle w:val="OptionalNormalIndent"/>
      </w:pPr>
      <w:r>
        <w:rPr/>
        <w:t xml:space="preserve">Steel: Sourced from steelmakers verified as meeting the requirements of the Steel Sustainability Australia Certification Program.</w:t>
      </w:r>
    </w:p>
    <w:p>
      <w:pPr>
        <w:pStyle w:val="OptionalNormalIndent"/>
      </w:pPr>
      <w:r>
        <w:rPr/>
        <w:t xml:space="preserve">Steelwork: Supplied by facilities certified to the Steel Sustainability Australia Certification Program.</w:t>
      </w:r>
    </w:p>
    <w:p>
      <w:pPr>
        <w:pStyle w:val="Instructions"/>
      </w:pPr>
      <w:r>
        <w:rPr/>
        <w:t xml:space="preserve">If environmentally sustainable steelwork to Steel Sustainability Australia (SSA) is a project requirement, consider including this </w:t>
      </w:r>
      <w:r>
        <w:rPr>
          <w:i/>
        </w:rPr>
        <w:t xml:space="preserve">Optional</w:t>
      </w:r>
      <w:r>
        <w:rPr/>
        <w:t xml:space="preserve"> style text by changing to </w:t>
      </w:r>
      <w:r>
        <w:rPr>
          <w:i/>
        </w:rPr>
        <w:t xml:space="preserve">Normal</w:t>
      </w:r>
      <w:r>
        <w:rPr/>
        <w:t xml:space="preserve"> style text. Additional requirements are applicable to each SSA certification level and can be found on the SSA website. Edit the text above to suit project requirements.</w:t>
      </w:r>
    </w:p>
    <w:p>
      <w:pPr>
        <w:pStyle w:val="Instructions"/>
      </w:pPr>
      <w:r>
        <w:rPr/>
        <w:t xml:space="preserve">If contractor submission of evidence is required, include submission requirements in </w:t>
      </w:r>
      <w:r>
        <w:rPr>
          <w:b/>
        </w:rPr>
        <w:t xml:space="preserve">SUBMISSIONS</w:t>
      </w:r>
      <w:r>
        <w:rPr/>
        <w:t xml:space="preserve">.</w:t>
      </w:r>
    </w:p>
    <w:p>
      <w:pPr>
        <w:pStyle w:val="Instructions"/>
      </w:pPr>
      <w:r>
        <w:rPr/>
        <w:t xml:space="preserve">SSA Verified Supplier Certificates, or Environmental Product Declarations together with certificates from other certification schemes can be obtained as evidence of steel source.</w:t>
      </w:r>
    </w:p>
    <w:p>
      <w:pPr>
        <w:pStyle w:val="Instructions"/>
      </w:pPr>
      <w:r>
        <w:rPr/>
        <w:t xml:space="preserve">A SSA Certificate of Compliance and listing on the SSA website (</w:t>
      </w:r>
      <w:r>
        <w:fldChar w:fldCharType="begin"/>
      </w:r>
      <w:r>
        <w:instrText xml:space="preserve"> HYPERLINK "https://www.steelsustainability.com.au/supplier-listing" </w:instrText>
      </w:r>
      <w:r>
        <w:fldChar w:fldCharType="separate"/>
      </w:r>
      <w:r>
        <w:rPr>
          <w:rStyle w:val="Hyperlink"/>
        </w:rPr>
        <w:t>www.steelsustainability.com.au/supplier-listing</w:t>
      </w:r>
      <w:r>
        <w:fldChar w:fldCharType="end"/>
      </w:r>
      <w:r>
        <w:rPr/>
        <w:t xml:space="preserve">) can be obtained as evidence of steelwork facility compliance.</w:t>
      </w:r>
    </w:p>
    <w:bookmarkEnd w:id="126"/>
    <w:bookmarkStart w:name="f-10152-10" w:id="128"/>
    <w:p>
      <w:pPr>
        <w:pStyle w:val="Heading4"/>
      </w:pPr>
      <w:bookmarkStart w:name="h-10152-10" w:id="129"/>
      <w:r>
        <w:rPr/>
        <w:t xml:space="preserve">Testing</w:t>
      </w:r>
      <w:bookmarkEnd w:id="129"/>
    </w:p>
    <w:p>
      <w:pPr>
        <w:pStyle w:val="Body Text"/>
      </w:pPr>
      <w:r>
        <w:rPr/>
        <w:t xml:space="preserve">Requirement: As documented.</w:t>
      </w:r>
    </w:p>
    <w:p>
      <w:pPr>
        <w:pStyle w:val="Instructions"/>
      </w:pPr>
      <w:r>
        <w:rPr/>
        <w:t xml:space="preserve">Document requirements in the </w:t>
      </w:r>
      <w:r>
        <w:rPr>
          <w:b/>
        </w:rPr>
        <w:t xml:space="preserve">Non-destructive testing of bars and sections schedule</w:t>
      </w:r>
      <w:r>
        <w:rPr/>
        <w:t xml:space="preserve">.</w:t>
      </w:r>
    </w:p>
    <w:bookmarkEnd w:id="128"/>
    <w:bookmarkStart w:name="f-10152-11" w:id="130"/>
    <w:p>
      <w:pPr>
        <w:pStyle w:val="Heading4"/>
      </w:pPr>
      <w:bookmarkStart w:name="h-10152-11" w:id="131"/>
      <w:r>
        <w:rPr/>
        <w:t xml:space="preserve">Ultrasonic testing of plates</w:t>
      </w:r>
      <w:bookmarkEnd w:id="131"/>
    </w:p>
    <w:p>
      <w:pPr>
        <w:pStyle w:val="Prompt"/>
      </w:pPr>
      <w:r>
        <w:rPr/>
        <w:t xml:space="preserve">Quality level to AS 1710 (2007): </w:t>
      </w:r>
      <w:r>
        <w:fldChar w:fldCharType="begin"/>
        <w:instrText xml:space="preserve"> MACROBUTTON  ac_OnHelp [complete/delete]</w:instrText>
        <w:fldChar w:fldCharType="separate"/>
        <w:t xml:space="preserve"> </w:t>
        <w:fldChar w:fldCharType="end"/>
      </w:r>
    </w:p>
    <w:p>
      <w:pPr>
        <w:pStyle w:val="Instructions"/>
      </w:pPr>
      <w:r>
        <w:rPr/>
        <w:t xml:space="preserve">Select the required quality grade, e.g. Level 1, Level 2 or Level 3. Where an edge is an additional requirement, designate it as Level 1E, Level 2E or Level 3E, as appropriate.</w:t>
      </w:r>
    </w:p>
    <w:p>
      <w:pPr>
        <w:pStyle w:val="Instructions"/>
      </w:pPr>
      <w:r>
        <w:rPr/>
        <w:t xml:space="preserve">The ASI recommends indicating joint details that are susceptible to lamellar tearing on the project drawings as ‘LT susceptible’ and requiring that such plate be ultrasonically tested to AS 1710 (2007) Level 1. For joints susceptible to lamellar tearing that require plates to a nominated Z-value, the ASI also recommends indicating the Z-values on the drawings. Refer to AS 4100 (2020) clause 2.2.5 for available Z-values.</w:t>
      </w:r>
    </w:p>
    <w:p>
      <w:pPr>
        <w:pStyle w:val="Instructions"/>
      </w:pPr>
      <w:r>
        <w:rPr/>
        <w:t xml:space="preserve">The ASI also recommends supplementary ultrasonic testing to Level 1 for all plates 40 mm thick and over.</w:t>
      </w:r>
    </w:p>
    <w:p>
      <w:pPr>
        <w:pStyle w:val="Instructions"/>
      </w:pPr>
      <w:r>
        <w:rPr/>
        <w:t xml:space="preserve">Include any detailed testing requirements in the </w:t>
      </w:r>
      <w:r>
        <w:rPr>
          <w:b/>
        </w:rPr>
        <w:t xml:space="preserve">Non-destructive testing of bars and sections schedule</w:t>
      </w:r>
      <w:r>
        <w:rPr/>
        <w:t xml:space="preserve">.</w:t>
      </w:r>
    </w:p>
    <w:bookmarkEnd w:id="130"/>
    <w:bookmarkStart w:name="f-10152-10152.4" w:id="132"/>
    <w:p>
      <w:pPr>
        <w:pStyle w:val="Heading3"/>
      </w:pPr>
      <w:bookmarkStart w:name="h-10152-10152.4" w:id="133"/>
      <w:r>
        <w:rPr/>
        <w:t xml:space="preserve">SLIMFLOR FLOORING SYSTEM</w:t>
      </w:r>
      <w:bookmarkEnd w:id="133"/>
    </w:p>
    <w:bookmarkEnd w:id="132"/>
    <w:bookmarkStart w:name="f-10152-10152.3" w:id="134"/>
    <w:p>
      <w:pPr>
        <w:pStyle w:val="Heading4"/>
      </w:pPr>
      <w:bookmarkStart w:name="h-10152-10152.3" w:id="135"/>
      <w:r>
        <w:rPr/>
        <w:t xml:space="preserve">General</w:t>
      </w:r>
      <w:bookmarkEnd w:id="135"/>
    </w:p>
    <w:p>
      <w:pPr>
        <w:pStyle w:val="Body Text"/>
      </w:pPr>
      <w:r>
        <w:rPr/>
        <w:t xml:space="preserve">Material selection and design: To Fielders’ recommendations, with material selection to suit environmental exposure conditions.</w:t>
      </w:r>
    </w:p>
    <w:p>
      <w:pPr>
        <w:pStyle w:val="Body Text"/>
      </w:pPr>
      <w:r>
        <w:rPr/>
        <w:t xml:space="preserve">Selection: To the </w:t>
      </w:r>
      <w:r>
        <w:rPr>
          <w:b/>
        </w:rPr>
        <w:t xml:space="preserve">Fielders SlimFlor schedule</w:t>
      </w:r>
      <w:r>
        <w:rPr/>
        <w:t xml:space="preserve">.</w:t>
      </w:r>
    </w:p>
    <w:bookmarkEnd w:id="134"/>
    <w:bookmarkStart w:name="f-10152-10152.2" w:id="136"/>
    <w:p>
      <w:pPr>
        <w:pStyle w:val="Heading4"/>
      </w:pPr>
      <w:bookmarkStart w:name="h-10152-10152.2" w:id="137"/>
      <w:r>
        <w:rPr/>
        <w:t xml:space="preserve">Materials</w:t>
      </w:r>
      <w:bookmarkEnd w:id="137"/>
    </w:p>
    <w:p>
      <w:pPr>
        <w:pStyle w:val="Body Text"/>
      </w:pPr>
      <w:r>
        <w:rPr/>
        <w:t xml:space="preserve">SlimDek 210 deck: DECKFORM high tensile steel.</w:t>
      </w:r>
    </w:p>
    <w:p>
      <w:pPr>
        <w:pStyle w:val="Body Text"/>
      </w:pPr>
      <w:r>
        <w:rPr/>
        <w:t xml:space="preserve">SlimDek 210 corrosion protection: Zinc coating mass of 350 g/m</w:t>
      </w:r>
      <w:r>
        <w:rPr>
          <w:vertAlign w:val="superscript"/>
        </w:rPr>
        <w:t xml:space="preserve">2</w:t>
      </w:r>
      <w:r>
        <w:rPr/>
        <w:t xml:space="preserve"> (Z350).</w:t>
      </w:r>
    </w:p>
    <w:p>
      <w:pPr>
        <w:pStyle w:val="Body Text"/>
      </w:pPr>
      <w:r>
        <w:rPr/>
        <w:t xml:space="preserve">SlimFlor ASB: Fabricated from one of the following:</w:t>
      </w:r>
    </w:p>
    <w:p>
      <w:pPr>
        <w:pStyle w:val="NormalIndent"/>
      </w:pPr>
      <w:r>
        <w:rPr/>
        <w:t xml:space="preserve">ASB: 3 steel plates conforming to AS/NZS 3678 (2016), welded together to form an asymmetrical beam section with a bottom flange wider than the top flange.</w:t>
      </w:r>
    </w:p>
    <w:p>
      <w:pPr>
        <w:pStyle w:val="NormalIndent"/>
      </w:pPr>
      <w:r>
        <w:rPr/>
        <w:t xml:space="preserve">ASB(UC): A UC section with an additional plate, nominally 150 mm wider than the UC flange, welded to the bottom flange of the UC.</w:t>
      </w:r>
    </w:p>
    <w:p>
      <w:pPr>
        <w:pStyle w:val="Instructions"/>
      </w:pPr>
      <w:r>
        <w:rPr/>
        <w:t xml:space="preserve">The typical range of sizes available for both ASB’s and ASB(UC)’s are noted in the </w:t>
      </w:r>
      <w:r>
        <w:rPr>
          <w:i/>
        </w:rPr>
        <w:t xml:space="preserve">Fielders Fact File F.3.5 (2018)</w:t>
      </w:r>
      <w:r>
        <w:rPr/>
        <w:t xml:space="preserve">.</w:t>
      </w:r>
    </w:p>
    <w:bookmarkEnd w:id="136"/>
    <w:bookmarkStart w:name="f-10152-12" w:id="138"/>
    <w:p>
      <w:pPr>
        <w:pStyle w:val="Heading3"/>
      </w:pPr>
      <w:bookmarkStart w:name="h-10152-12" w:id="139"/>
      <w:r>
        <w:rPr/>
        <w:t xml:space="preserve">MECHANICAL FASTENERS</w:t>
      </w:r>
      <w:bookmarkEnd w:id="139"/>
    </w:p>
    <w:bookmarkEnd w:id="138"/>
    <w:bookmarkStart w:name="f-10152-13" w:id="140"/>
    <w:p>
      <w:pPr>
        <w:pStyle w:val="Heading4"/>
      </w:pPr>
      <w:bookmarkStart w:name="h-10152-13" w:id="141"/>
      <w:r>
        <w:rPr/>
        <w:t xml:space="preserve">Standards</w:t>
      </w:r>
      <w:bookmarkEnd w:id="141"/>
    </w:p>
    <w:p>
      <w:pPr>
        <w:pStyle w:val="Body Text"/>
      </w:pPr>
      <w:r>
        <w:rPr/>
        <w:t xml:space="preserve">Bolts: To AS 1110.1 (2015), AS 1111.1 (2015) and AS/NZS 1252.1 (2016).</w:t>
      </w:r>
    </w:p>
    <w:p>
      <w:pPr>
        <w:pStyle w:val="Body Text"/>
      </w:pPr>
      <w:r>
        <w:rPr/>
        <w:t xml:space="preserve">Nuts: To AS 1112.1 (2015), AS 1112.2 (2015), AS 1112.3 (2015), AS 1112.4 (2015) and AS/NZS 1252.1 (2016).</w:t>
      </w:r>
    </w:p>
    <w:bookmarkEnd w:id="140"/>
    <w:bookmarkStart w:name="f-10152-14" w:id="142"/>
    <w:p>
      <w:pPr>
        <w:pStyle w:val="Heading4"/>
      </w:pPr>
      <w:bookmarkStart w:name="h-10152-14" w:id="143"/>
      <w:r>
        <w:rPr/>
        <w:t xml:space="preserve">Bolting category</w:t>
      </w:r>
      <w:bookmarkEnd w:id="143"/>
    </w:p>
    <w:p>
      <w:pPr>
        <w:pStyle w:val="Body Text"/>
      </w:pPr>
      <w:r>
        <w:rPr/>
        <w:t xml:space="preserve">Requirement: To the </w:t>
      </w:r>
      <w:r>
        <w:rPr>
          <w:b/>
        </w:rPr>
        <w:t xml:space="preserve">Bolting category schedule</w:t>
      </w:r>
      <w:r>
        <w:rPr/>
        <w:t xml:space="preserve">.</w:t>
      </w:r>
    </w:p>
    <w:p>
      <w:pPr>
        <w:pStyle w:val="Instructions"/>
      </w:pPr>
      <w:r>
        <w:rPr/>
        <w:t xml:space="preserve">It is preferable to show this information on the drawings. If it is, delete this subclause and the </w:t>
      </w:r>
      <w:r>
        <w:rPr>
          <w:b/>
        </w:rPr>
        <w:t xml:space="preserve">Bolting category schedule</w:t>
      </w:r>
      <w:r>
        <w:rPr/>
        <w:t xml:space="preserve">.</w:t>
      </w:r>
    </w:p>
    <w:p>
      <w:pPr>
        <w:pStyle w:val="Instructions"/>
      </w:pPr>
      <w:r>
        <w:rPr/>
        <w:t xml:space="preserve">Refer to AS 4100 (2020) clause 9.2.1 for bolt categories.</w:t>
      </w:r>
    </w:p>
    <w:bookmarkEnd w:id="142"/>
    <w:bookmarkStart w:name="f-10152-15" w:id="144"/>
    <w:p>
      <w:pPr>
        <w:pStyle w:val="Heading4"/>
      </w:pPr>
      <w:bookmarkStart w:name="h-10152-15" w:id="145"/>
      <w:r>
        <w:rPr/>
        <w:t xml:space="preserve">Certification</w:t>
      </w:r>
      <w:bookmarkEnd w:id="145"/>
    </w:p>
    <w:p>
      <w:pPr>
        <w:pStyle w:val="Body Text"/>
      </w:pPr>
      <w:r>
        <w:rPr/>
        <w:t xml:space="preserve">High-strength bolt assemblies: Minimum requirements for test reports, to AS/NZS 1252.1 (2016) clause 6.4.2.</w:t>
      </w:r>
    </w:p>
    <w:p>
      <w:pPr>
        <w:pStyle w:val="Instructions"/>
      </w:pPr>
      <w:r>
        <w:rPr/>
        <w:t xml:space="preserve">As all high-strength bolt assemblies are imported, these are essential requirements.</w:t>
      </w:r>
    </w:p>
    <w:bookmarkEnd w:id="144"/>
    <w:bookmarkStart w:name="f-10152-16" w:id="146"/>
    <w:p>
      <w:pPr>
        <w:pStyle w:val="Heading4"/>
      </w:pPr>
      <w:bookmarkStart w:name="h-10152-16" w:id="147"/>
      <w:r>
        <w:rPr/>
        <w:t xml:space="preserve">Finish</w:t>
      </w:r>
      <w:bookmarkEnd w:id="147"/>
    </w:p>
    <w:p>
      <w:pPr>
        <w:pStyle w:val="Body Text"/>
      </w:pPr>
      <w:r>
        <w:rPr/>
        <w:t xml:space="preserve">Bolts, nuts and washers: Hot-dip galvanized to AS/NZS 1214 (2016), corrosion-free, and in serviceable condition.</w:t>
      </w:r>
    </w:p>
    <w:bookmarkEnd w:id="146"/>
    <w:bookmarkStart w:name="f-10152-17" w:id="148"/>
    <w:p>
      <w:pPr>
        <w:pStyle w:val="Heading4"/>
      </w:pPr>
      <w:bookmarkStart w:name="h-10152-17" w:id="149"/>
      <w:r>
        <w:rPr/>
        <w:t xml:space="preserve">Anchor bolts</w:t>
      </w:r>
      <w:bookmarkEnd w:id="149"/>
    </w:p>
    <w:p>
      <w:pPr>
        <w:pStyle w:val="Body Text"/>
      </w:pPr>
      <w:r>
        <w:rPr/>
        <w:t xml:space="preserve">Hexagonal bolts: To AS 1111.1 (2015).</w:t>
      </w:r>
    </w:p>
    <w:p>
      <w:pPr>
        <w:pStyle w:val="Body Text"/>
      </w:pPr>
      <w:r>
        <w:rPr/>
        <w:t xml:space="preserve">Hexagonal nuts: To AS 1112.3 (2015).</w:t>
      </w:r>
    </w:p>
    <w:p>
      <w:pPr>
        <w:pStyle w:val="Body Text"/>
      </w:pPr>
      <w:r>
        <w:rPr/>
        <w:t xml:space="preserve">Plain washers: To AS 1237.1 (2002).</w:t>
      </w:r>
    </w:p>
    <w:p>
      <w:pPr>
        <w:pStyle w:val="Body Text"/>
      </w:pPr>
      <w:r>
        <w:rPr/>
        <w:t xml:space="preserve">Requirement: Provide each anchor bolt with 2 nuts and 2 oversize washers with sufficient thread for the levelling nut and washer to sit below the base plate.</w:t>
      </w:r>
    </w:p>
    <w:p>
      <w:pPr>
        <w:pStyle w:val="Instructions"/>
      </w:pPr>
      <w:r>
        <w:rPr/>
        <w:t xml:space="preserve">Supply of anchor bolts is usually included with the supply of structural steel, but installed by others. If the steel fabricator or erector is responsible for installing the anchor bolts, make reference to the installation requirements in </w:t>
      </w:r>
      <w:r>
        <w:rPr>
          <w:b/>
        </w:rPr>
        <w:t xml:space="preserve">ERECTION</w:t>
      </w:r>
      <w:r>
        <w:rPr/>
        <w:t xml:space="preserve">, </w:t>
      </w:r>
      <w:r>
        <w:rPr>
          <w:b/>
        </w:rPr>
        <w:t xml:space="preserve">Anchor bolts</w:t>
      </w:r>
      <w:r>
        <w:rPr/>
        <w:t xml:space="preserve">. See </w:t>
      </w:r>
      <w:r>
        <w:rPr>
          <w:b/>
        </w:rPr>
        <w:t xml:space="preserve">CORES, FIXINGS AND EMBEDDED ITEMS</w:t>
      </w:r>
      <w:r>
        <w:rPr/>
        <w:t xml:space="preserve"> in </w:t>
      </w:r>
      <w:r>
        <w:rPr>
          <w:i/>
        </w:rPr>
        <w:t xml:space="preserve">0310 Concrete - combined</w:t>
      </w:r>
      <w:r>
        <w:rPr/>
        <w:t xml:space="preserve"> or </w:t>
      </w:r>
      <w:r>
        <w:rPr>
          <w:i/>
        </w:rPr>
        <w:t xml:space="preserve">0314 Concrete in situ</w:t>
      </w:r>
      <w:r>
        <w:rPr/>
        <w:t xml:space="preserve"> for installation of the bolts. Consider special conditions requiring a fabricated bolt to be provided.</w:t>
      </w:r>
    </w:p>
    <w:p>
      <w:pPr>
        <w:pStyle w:val="Body Text"/>
      </w:pPr>
      <w:r>
        <w:rPr/>
        <w:t xml:space="preserve">Mechanical and chemical anchors: To AS 5216 (2021), installed to manufacturer’s recommendations.</w:t>
      </w:r>
    </w:p>
    <w:p>
      <w:pPr>
        <w:pStyle w:val="Prompt"/>
      </w:pPr>
      <w:r>
        <w:rPr/>
        <w:t xml:space="preserve">Anchor product: </w:t>
      </w:r>
      <w:r>
        <w:fldChar w:fldCharType="begin"/>
        <w:instrText xml:space="preserve"> MACROBUTTON  ac_OnHelp [complete/delete]</w:instrText>
        <w:fldChar w:fldCharType="separate"/>
        <w:t xml:space="preserve"> </w:t>
        <w:fldChar w:fldCharType="end"/>
      </w:r>
    </w:p>
    <w:p>
      <w:pPr>
        <w:pStyle w:val="Instructions"/>
      </w:pPr>
      <w:r>
        <w:rPr/>
        <w:t xml:space="preserve">Insert required product. If more than one anchor type is required or the product name/code is not specific enough to describe the anchor required, consider using a schedule in SELECTIONS to document the various anchor types, locations, loadings, etc.</w:t>
      </w:r>
    </w:p>
    <w:p>
      <w:pPr>
        <w:pStyle w:val="Instructions"/>
      </w:pPr>
      <w:r>
        <w:rPr/>
        <w:t xml:space="preserve">If fasteners for thin gauge components, special fasteners or explosive fasteners are required, refer to AS/NZS 5131 (2016) clauses 5.5.10, 5.5.11 and 5.7 and document requirements here.</w:t>
      </w:r>
    </w:p>
    <w:p>
      <w:pPr>
        <w:pStyle w:val="Prompt"/>
      </w:pPr>
      <w:r>
        <w:rPr/>
        <w:t xml:space="preserve">Proof testing of anchors: </w:t>
      </w:r>
      <w:r>
        <w:fldChar w:fldCharType="begin"/>
        <w:instrText xml:space="preserve"> MACROBUTTON  ac_OnHelp [complete/delete]</w:instrText>
        <w:fldChar w:fldCharType="separate"/>
        <w:t xml:space="preserve"> </w:t>
        <w:fldChar w:fldCharType="end"/>
      </w:r>
    </w:p>
    <w:p>
      <w:pPr>
        <w:pStyle w:val="Instructions"/>
      </w:pPr>
      <w:r>
        <w:rPr/>
        <w:t xml:space="preserve">If proof testing is required, nominate the testing requirements, otherwise delete. Refer to AS 5216 (2021) Appendix A.</w:t>
      </w:r>
    </w:p>
    <w:bookmarkEnd w:id="148"/>
    <w:bookmarkStart w:name="f-10152-18" w:id="150"/>
    <w:p>
      <w:pPr>
        <w:pStyle w:val="Heading3"/>
      </w:pPr>
      <w:bookmarkStart w:name="h-10152-18" w:id="151"/>
      <w:r>
        <w:rPr/>
        <w:t xml:space="preserve">OTHER MATERIALS</w:t>
      </w:r>
      <w:bookmarkEnd w:id="151"/>
    </w:p>
    <w:bookmarkEnd w:id="150"/>
    <w:bookmarkStart w:name="f-10152-19" w:id="152"/>
    <w:p>
      <w:pPr>
        <w:pStyle w:val="Heading4"/>
      </w:pPr>
      <w:bookmarkStart w:name="h-10152-19" w:id="153"/>
      <w:r>
        <w:rPr/>
        <w:t xml:space="preserve">Welding consumables</w:t>
      </w:r>
      <w:bookmarkEnd w:id="153"/>
    </w:p>
    <w:p>
      <w:pPr>
        <w:pStyle w:val="Body Text"/>
      </w:pPr>
      <w:r>
        <w:rPr/>
        <w:t xml:space="preserve">Requirement: To the relevant part of the AS/NZS 1554 series.</w:t>
      </w:r>
    </w:p>
    <w:p>
      <w:pPr>
        <w:pStyle w:val="Instructions"/>
      </w:pPr>
      <w:r>
        <w:rPr/>
        <w:t xml:space="preserve">Refer to ASI TN008 (2012) for information on welding consumables and design.</w:t>
      </w:r>
    </w:p>
    <w:bookmarkEnd w:id="152"/>
    <w:bookmarkStart w:name="f-10152-20" w:id="154"/>
    <w:p>
      <w:pPr>
        <w:pStyle w:val="Heading4"/>
      </w:pPr>
      <w:bookmarkStart w:name="h-10152-20" w:id="155"/>
      <w:r>
        <w:rPr/>
        <w:t xml:space="preserve">Studs and shear connectors</w:t>
      </w:r>
      <w:bookmarkEnd w:id="155"/>
    </w:p>
    <w:p>
      <w:pPr>
        <w:pStyle w:val="Body Text"/>
      </w:pPr>
      <w:r>
        <w:rPr/>
        <w:t xml:space="preserve">Requirement: To AS/NZS 5131 (2016) clause 5.6.</w:t>
      </w:r>
    </w:p>
    <w:p>
      <w:pPr>
        <w:pStyle w:val="Prompt"/>
      </w:pPr>
      <w:r>
        <w:rPr/>
        <w:t xml:space="preserve">Grade: </w:t>
      </w:r>
      <w:r>
        <w:fldChar w:fldCharType="begin"/>
        <w:instrText xml:space="preserve"> MACROBUTTON  ac_OnHelp [complete/delete]</w:instrText>
        <w:fldChar w:fldCharType="separate"/>
        <w:t xml:space="preserve"> </w:t>
        <w:fldChar w:fldCharType="end"/>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Prompt"/>
      </w:pPr>
      <w:r>
        <w:rPr/>
        <w:t xml:space="preserve">Length: </w:t>
      </w:r>
      <w:r>
        <w:fldChar w:fldCharType="begin"/>
        <w:instrText xml:space="preserve"> MACROBUTTON  ac_OnHelp [complete/delete]</w:instrText>
        <w:fldChar w:fldCharType="separate"/>
        <w:t xml:space="preserve"> </w:t>
        <w:fldChar w:fldCharType="end"/>
      </w:r>
    </w:p>
    <w:p>
      <w:pPr>
        <w:pStyle w:val="Instructions"/>
      </w:pPr>
      <w:r>
        <w:rPr/>
        <w:t xml:space="preserve">If more than one type of stud or shear connector is required, consider using a schedule in SELECTIONS to document the various types.</w:t>
      </w:r>
    </w:p>
    <w:bookmarkEnd w:id="154"/>
    <w:bookmarkStart w:name="f-10152-21" w:id="156"/>
    <w:p>
      <w:pPr>
        <w:pStyle w:val="Heading4"/>
      </w:pPr>
      <w:bookmarkStart w:name="h-10152-21" w:id="157"/>
      <w:r>
        <w:rPr/>
        <w:t xml:space="preserve">Grout</w:t>
      </w:r>
      <w:bookmarkEnd w:id="157"/>
    </w:p>
    <w:p>
      <w:pPr>
        <w:pStyle w:val="Body Text"/>
      </w:pPr>
      <w:r>
        <w:rPr/>
        <w:t xml:space="preserve">Requirement: To AS/NZS 5131 (2016) clause 5.8.</w:t>
      </w:r>
    </w:p>
    <w:p>
      <w:pPr>
        <w:pStyle w:val="Prompt"/>
      </w:pPr>
      <w:r>
        <w:rPr/>
        <w:t xml:space="preserve">Method: </w:t>
      </w:r>
      <w:r>
        <w:fldChar w:fldCharType="begin"/>
        <w:instrText xml:space="preserve"> MACROBUTTON  ac_OnHelp [complete/delete]</w:instrText>
        <w:fldChar w:fldCharType="separate"/>
        <w:t xml:space="preserve"> </w:t>
        <w:fldChar w:fldCharType="end"/>
      </w:r>
    </w:p>
    <w:p>
      <w:pPr>
        <w:pStyle w:val="Instructions"/>
      </w:pPr>
      <w:r>
        <w:rPr/>
        <w:t xml:space="preserve">e.g. Pressure grouting, Dry pack with stiff cement mortar.</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1 cement: 2 sand or use a proprietary brand name. Consider non-shrink grout.</w:t>
      </w:r>
    </w:p>
    <w:p>
      <w:pPr>
        <w:pStyle w:val="Prompt"/>
      </w:pPr>
      <w:r>
        <w:rPr/>
        <w:t xml:space="preserve">Minimum compressive strength (MPa): </w:t>
      </w:r>
      <w:r>
        <w:fldChar w:fldCharType="begin"/>
        <w:instrText xml:space="preserve"> MACROBUTTON  ac_OnHelp [complete/delete]</w:instrText>
        <w:fldChar w:fldCharType="separate"/>
        <w:t xml:space="preserve"> </w:t>
        <w:fldChar w:fldCharType="end"/>
      </w:r>
    </w:p>
    <w:p>
      <w:pPr>
        <w:pStyle w:val="Prompt"/>
      </w:pPr>
      <w:r>
        <w:rPr/>
        <w:t xml:space="preserve">Minimum thickness (mm): </w:t>
      </w:r>
      <w:r>
        <w:fldChar w:fldCharType="begin"/>
        <w:instrText xml:space="preserve"> MACROBUTTON  ac_OnHelp [complete/delete]</w:instrText>
        <w:fldChar w:fldCharType="separate"/>
        <w:t xml:space="preserve"> </w:t>
        <w:fldChar w:fldCharType="end"/>
      </w:r>
    </w:p>
    <w:p>
      <w:pPr>
        <w:pStyle w:val="Prompt"/>
      </w:pPr>
      <w:r>
        <w:rPr/>
        <w:t xml:space="preserve">Maximum thickness (mm): </w:t>
      </w:r>
      <w:r>
        <w:fldChar w:fldCharType="begin"/>
        <w:instrText xml:space="preserve"> MACROBUTTON  ac_OnHelp [complete/delete]</w:instrText>
        <w:fldChar w:fldCharType="separate"/>
        <w:t xml:space="preserve"> </w:t>
        <w:fldChar w:fldCharType="end"/>
      </w:r>
    </w:p>
    <w:bookmarkEnd w:id="156"/>
    <w:bookmarkEnd w:id="102"/>
    <w:bookmarkStart w:name="f-10156" w:id="158"/>
    <w:bookmarkStart w:name="f-10156-1" w:id="159"/>
    <w:p>
      <w:pPr>
        <w:pStyle w:val="Heading2"/>
      </w:pPr>
      <w:bookmarkStart w:name="h-10156-1" w:id="160"/>
      <w:r>
        <w:rPr/>
        <w:t xml:space="preserve">EXECUTION</w:t>
      </w:r>
      <w:bookmarkEnd w:id="160"/>
    </w:p>
    <w:bookmarkEnd w:id="159"/>
    <w:bookmarkStart w:name="f-10156-2" w:id="161"/>
    <w:p>
      <w:pPr>
        <w:pStyle w:val="Heading3"/>
      </w:pPr>
      <w:bookmarkStart w:name="h-10156-2" w:id="162"/>
      <w:r>
        <w:rPr/>
        <w:t xml:space="preserve">PREPARATION, ASSEMBLY AND FABRICATION</w:t>
      </w:r>
      <w:bookmarkEnd w:id="162"/>
    </w:p>
    <w:p>
      <w:pPr>
        <w:pStyle w:val="Instructions"/>
      </w:pPr>
      <w:r>
        <w:rPr/>
        <w:t xml:space="preserve">See AS/NZS 5131 (2016) Section 6 and AS/NZS 1554.1 (2014).</w:t>
      </w:r>
    </w:p>
    <w:p>
      <w:pPr>
        <w:pStyle w:val="Instructions"/>
      </w:pPr>
      <w:r>
        <w:rPr/>
        <w:t xml:space="preserve">The ASI recommends that all steelwork be fabricated by fabricators certified under the </w:t>
      </w:r>
      <w:r>
        <w:rPr>
          <w:i/>
        </w:rPr>
        <w:t xml:space="preserve">National Structural Steelwork Compliance Scheme</w:t>
      </w:r>
      <w:r>
        <w:rPr/>
        <w:t xml:space="preserve"> (NSSCS) (see </w:t>
      </w:r>
      <w:r>
        <w:fldChar w:fldCharType="begin"/>
      </w:r>
      <w:r>
        <w:instrText xml:space="preserve"> HYPERLINK "https://www.scacompliance.com.au/" </w:instrText>
      </w:r>
      <w:r>
        <w:fldChar w:fldCharType="separate"/>
      </w:r>
      <w:r>
        <w:rPr>
          <w:rStyle w:val="Hyperlink"/>
        </w:rPr>
        <w:t>www.scacompliance.com.au</w:t>
      </w:r>
      <w:r>
        <w:fldChar w:fldCharType="end"/>
      </w:r>
      <w:r>
        <w:rPr/>
        <w:t xml:space="preserve">). If certification to this (or any alternative) scheme is a project requirement, document such requirements here.</w:t>
      </w:r>
    </w:p>
    <w:bookmarkEnd w:id="161"/>
    <w:bookmarkStart w:name="f-10156-3" w:id="163"/>
    <w:p>
      <w:pPr>
        <w:pStyle w:val="Heading4"/>
      </w:pPr>
      <w:bookmarkStart w:name="h-10156-3" w:id="164"/>
      <w:r>
        <w:rPr/>
        <w:t xml:space="preserve">Identification</w:t>
      </w:r>
      <w:bookmarkEnd w:id="164"/>
    </w:p>
    <w:p>
      <w:pPr>
        <w:pStyle w:val="Body Text"/>
      </w:pPr>
      <w:r>
        <w:rPr/>
        <w:t xml:space="preserve">Traceability: To AS/NZS 5131 (2016) clause 5.2.3.</w:t>
      </w:r>
    </w:p>
    <w:p>
      <w:pPr>
        <w:pStyle w:val="Body Text"/>
      </w:pPr>
      <w:r>
        <w:rPr/>
        <w:t xml:space="preserve">Marking: Provide marks or other means of identifying each member compatible with the finish, for setting out, locating, erecting and connecting the steelwork to the marking plans.</w:t>
      </w:r>
    </w:p>
    <w:p>
      <w:pPr>
        <w:pStyle w:val="Instructions"/>
      </w:pPr>
      <w:r>
        <w:rPr/>
        <w:t xml:space="preserve">Show on the drawings any areas where identification marks are not permitted.</w:t>
      </w:r>
    </w:p>
    <w:p>
      <w:pPr>
        <w:pStyle w:val="Prompt"/>
      </w:pPr>
      <w:r>
        <w:rPr/>
        <w:t xml:space="preserve">Hard stamping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Permitted, or Not Permitted. If permitted, show on the drawings any areas where hard stamping is not allowed. If not permitted, nominate if soft or low stress stamps may be used.</w:t>
      </w:r>
    </w:p>
    <w:p>
      <w:pPr>
        <w:pStyle w:val="Body Text"/>
      </w:pPr>
      <w:r>
        <w:rPr/>
        <w:t xml:space="preserve">High-strength bolting: If the work includes more than one bolting category, mark high-strength structural bolted connections with a 75 mm wide flash of colour, clear of holes.</w:t>
      </w:r>
    </w:p>
    <w:p>
      <w:pPr>
        <w:pStyle w:val="Instructions"/>
      </w:pPr>
      <w:r>
        <w:rPr/>
        <w:t xml:space="preserve">Certain marking may be restricted for AESS. Refer to </w:t>
      </w:r>
      <w:r>
        <w:rPr>
          <w:b/>
        </w:rPr>
        <w:t xml:space="preserve">ARCHITECTURALLY EXPOSED STRUCTURAL STEELWORK</w:t>
      </w:r>
      <w:r>
        <w:rPr/>
        <w:t xml:space="preserve">.</w:t>
      </w:r>
    </w:p>
    <w:p>
      <w:pPr>
        <w:pStyle w:val="Body Text"/>
      </w:pPr>
      <w:r>
        <w:rPr/>
        <w:t xml:space="preserve">Cold-formed members: Clearly mark material thickness.</w:t>
      </w:r>
    </w:p>
    <w:p>
      <w:pPr>
        <w:pStyle w:val="Body Text"/>
      </w:pPr>
      <w:r>
        <w:rPr/>
        <w:t xml:space="preserve">Monorail beams: Identify and mark rated capacity in conformance with AS 1418.18 (2024) clause 5.12.6.</w:t>
      </w:r>
    </w:p>
    <w:bookmarkEnd w:id="163"/>
    <w:bookmarkStart w:name="f-10156-4" w:id="165"/>
    <w:p>
      <w:pPr>
        <w:pStyle w:val="Heading4"/>
      </w:pPr>
      <w:bookmarkStart w:name="h-10156-4" w:id="166"/>
      <w:r>
        <w:rPr/>
        <w:t xml:space="preserve">Natural beam camber</w:t>
      </w:r>
      <w:bookmarkEnd w:id="166"/>
    </w:p>
    <w:p>
      <w:pPr>
        <w:pStyle w:val="Body Text"/>
      </w:pPr>
      <w:r>
        <w:rPr/>
        <w:t xml:space="preserve">General: If steel beams have a natural camber, within the straightness tolerance, fabricate the steelwork element with the camber up.</w:t>
      </w:r>
    </w:p>
    <w:p>
      <w:pPr>
        <w:pStyle w:val="Instructions"/>
      </w:pPr>
      <w:r>
        <w:rPr/>
        <w:t xml:space="preserve">Taking advantage of natural camber is particularly important in cold-formed sections such as purlins for low-pitched roofs.</w:t>
      </w:r>
    </w:p>
    <w:p>
      <w:pPr>
        <w:pStyle w:val="Instructions"/>
      </w:pPr>
      <w:r>
        <w:rPr/>
        <w:t xml:space="preserve">Document any requirements for induced camber or preset on the drawings.</w:t>
      </w:r>
    </w:p>
    <w:bookmarkEnd w:id="165"/>
    <w:bookmarkStart w:name="f-10156-5" w:id="167"/>
    <w:p>
      <w:pPr>
        <w:pStyle w:val="Heading4"/>
      </w:pPr>
      <w:bookmarkStart w:name="h-10156-5" w:id="168"/>
      <w:r>
        <w:rPr/>
        <w:t xml:space="preserve">Cutting</w:t>
      </w:r>
      <w:bookmarkEnd w:id="168"/>
    </w:p>
    <w:p>
      <w:pPr>
        <w:pStyle w:val="Instructions"/>
      </w:pPr>
      <w:r>
        <w:rPr/>
        <w:t xml:space="preserve">Refer to AS/NZS 5131 (2016) clause 6.5.</w:t>
      </w:r>
    </w:p>
    <w:p>
      <w:pPr>
        <w:pStyle w:val="Body Text"/>
      </w:pPr>
      <w:r>
        <w:rPr/>
        <w:t xml:space="preserve">Shearing: Do not shear edges of a connection or parts of a member that have been designated as areas of plastic deformation.</w:t>
      </w:r>
    </w:p>
    <w:p>
      <w:pPr>
        <w:pStyle w:val="Body Text"/>
      </w:pPr>
      <w:r>
        <w:rPr/>
        <w:t xml:space="preserve">Punching: Do not punch fastener holes in locations designated as areas of plastic deformation.</w:t>
      </w:r>
    </w:p>
    <w:p>
      <w:pPr>
        <w:pStyle w:val="Instructions"/>
      </w:pPr>
      <w:r>
        <w:rPr/>
        <w:t xml:space="preserve">Designate areas of plastic deformation for seismic design on the drawings. Refer to AS 4100 (2020) clause 13.3.6.4 for requirements when alternatives to shearing and punching cannot be adopted.</w:t>
      </w:r>
    </w:p>
    <w:p>
      <w:pPr>
        <w:pStyle w:val="Instructions"/>
      </w:pPr>
      <w:r>
        <w:rPr/>
        <w:t xml:space="preserve">Also, identify details with a fatigue detail category greater than or equal to 80 MPa. Refer to AS/NZS 5131 (2016) clause 6.5.2.</w:t>
      </w:r>
    </w:p>
    <w:p>
      <w:pPr>
        <w:pStyle w:val="Prompt"/>
      </w:pPr>
      <w:r>
        <w:rPr/>
        <w:t xml:space="preserve">Prohibited cutting methods: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6.5.1.</w:t>
      </w:r>
    </w:p>
    <w:bookmarkEnd w:id="167"/>
    <w:bookmarkStart w:name="f-10156-6" w:id="169"/>
    <w:p>
      <w:pPr>
        <w:pStyle w:val="Heading4"/>
      </w:pPr>
      <w:bookmarkStart w:name="h-10156-6" w:id="170"/>
      <w:r>
        <w:rPr/>
        <w:t xml:space="preserve">Shaping</w:t>
      </w:r>
      <w:bookmarkEnd w:id="170"/>
    </w:p>
    <w:p>
      <w:pPr>
        <w:pStyle w:val="Body Text"/>
      </w:pPr>
      <w:r>
        <w:rPr/>
        <w:t xml:space="preserve">Requirement: Where forming, shaping or correcting distorted members, avoid damage and conform to AS/NZS 5131 (2016) clause 6.6.</w:t>
      </w:r>
    </w:p>
    <w:bookmarkEnd w:id="169"/>
    <w:bookmarkStart w:name="f-10156-7" w:id="171"/>
    <w:p>
      <w:pPr>
        <w:pStyle w:val="Heading4"/>
      </w:pPr>
      <w:bookmarkStart w:name="h-10156-7" w:id="172"/>
      <w:r>
        <w:rPr/>
        <w:t xml:space="preserve">Holing</w:t>
      </w:r>
      <w:bookmarkEnd w:id="172"/>
    </w:p>
    <w:p>
      <w:pPr>
        <w:pStyle w:val="Instructions"/>
      </w:pPr>
      <w:r>
        <w:rPr/>
        <w:t xml:space="preserve">Refer to AS/NZS 5131 (2016) clause 6.7.</w:t>
      </w:r>
    </w:p>
    <w:p>
      <w:pPr>
        <w:pStyle w:val="Body Text"/>
      </w:pPr>
      <w:r>
        <w:rPr/>
        <w:t xml:space="preserve">Slotted holes: Do not use slotted holes for connections, other than those documented.</w:t>
      </w:r>
    </w:p>
    <w:p>
      <w:pPr>
        <w:pStyle w:val="Prompt"/>
      </w:pPr>
      <w:r>
        <w:rPr/>
        <w:t xml:space="preserve">Finish for pinned connections: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6.7.6. Pins and holes shall be finished so that the forces are distributed evenly to the joint plies.</w:t>
      </w:r>
    </w:p>
    <w:bookmarkEnd w:id="171"/>
    <w:bookmarkStart w:name="f-10156-8" w:id="173"/>
    <w:p>
      <w:pPr>
        <w:pStyle w:val="Heading4"/>
      </w:pPr>
      <w:bookmarkStart w:name="h-10156-8" w:id="174"/>
      <w:r>
        <w:rPr/>
        <w:t xml:space="preserve">Tolerances</w:t>
      </w:r>
      <w:bookmarkEnd w:id="174"/>
    </w:p>
    <w:p>
      <w:pPr>
        <w:pStyle w:val="Body Text"/>
      </w:pPr>
      <w:r>
        <w:rPr/>
        <w:t xml:space="preserve">Measurement: Check tolerances by measurement after fabrication and application of corrosion protection.</w:t>
      </w:r>
    </w:p>
    <w:bookmarkEnd w:id="173"/>
    <w:bookmarkStart w:name="f-10156-10156.1" w:id="175"/>
    <w:p>
      <w:pPr>
        <w:pStyle w:val="Heading4"/>
      </w:pPr>
      <w:bookmarkStart w:name="h-10156-10156.1" w:id="176"/>
      <w:r>
        <w:rPr/>
        <w:t xml:space="preserve">Fielders SlimFlor</w:t>
      </w:r>
      <w:bookmarkEnd w:id="176"/>
    </w:p>
    <w:p>
      <w:pPr>
        <w:pStyle w:val="Body Text"/>
      </w:pPr>
      <w:r>
        <w:rPr/>
        <w:t xml:space="preserve">General: Install the ASB / ASB(UC) and SlimDek 210 to Fielders’ recommendations.</w:t>
      </w:r>
    </w:p>
    <w:p>
      <w:pPr>
        <w:pStyle w:val="Body Text"/>
      </w:pPr>
      <w:r>
        <w:rPr/>
        <w:t xml:space="preserve">SlimDek 10: Provide the following:</w:t>
      </w:r>
    </w:p>
    <w:p>
      <w:pPr>
        <w:pStyle w:val="NormalIndent"/>
      </w:pPr>
      <w:r>
        <w:rPr/>
        <w:t xml:space="preserve">Steel end-diaphragms fixed to ASB with powder actuated fixings at maximum 600 mm centres, or 4 per diaphragm length.</w:t>
      </w:r>
    </w:p>
    <w:p>
      <w:pPr>
        <w:pStyle w:val="NormalIndent"/>
      </w:pPr>
      <w:r>
        <w:rPr/>
        <w:t xml:space="preserve">SlimDek 210 sheets placed onto end-diaphragms, with a minimum 50 mm bearing to the end of each sheet, and fixed to top of the end-diaphragm using Series 500 Tek Screws.</w:t>
      </w:r>
    </w:p>
    <w:p>
      <w:pPr>
        <w:pStyle w:val="NormalIndent"/>
      </w:pPr>
      <w:r>
        <w:rPr/>
        <w:t xml:space="preserve">One heavy-duty powder actuated fixing to the ASB, per trough, at each end of the sheet.</w:t>
      </w:r>
    </w:p>
    <w:p>
      <w:pPr>
        <w:pStyle w:val="NormalIndent"/>
      </w:pPr>
      <w:r>
        <w:rPr/>
        <w:t xml:space="preserve">Stitching of side laps at 500 mm centres with 10-16 diameter self-drilling screws.</w:t>
      </w:r>
    </w:p>
    <w:bookmarkEnd w:id="175"/>
    <w:bookmarkStart w:name="f-10156-9" w:id="177"/>
    <w:p>
      <w:pPr>
        <w:pStyle w:val="OptionalHeading4"/>
      </w:pPr>
      <w:bookmarkStart w:name="h-10156-9" w:id="178"/>
      <w:r>
        <w:rPr/>
        <w:t xml:space="preserve">Assembly check</w:t>
      </w:r>
      <w:bookmarkEnd w:id="178"/>
    </w:p>
    <w:p>
      <w:pPr>
        <w:pStyle w:val="OptionalNormal"/>
      </w:pPr>
      <w:r>
        <w:rPr/>
        <w:t xml:space="preserve">Trial assembly and temporary erection: </w:t>
      </w:r>
      <w:r>
        <w:fldChar w:fldCharType="begin"/>
        <w:instrText xml:space="preserve"> MACROBUTTON  ac_OnHelp [complete/delete]</w:instrText>
        <w:fldChar w:fldCharType="separate"/>
        <w:t xml:space="preserve"> </w:t>
        <w:fldChar w:fldCharType="end"/>
      </w:r>
    </w:p>
    <w:p>
      <w:pPr>
        <w:pStyle w:val="Instructions"/>
      </w:pPr>
      <w:r>
        <w:rPr/>
        <w:t xml:space="preserve">If a trial assembly and temporary erection of elements of the steelwork is required, include this </w:t>
      </w:r>
      <w:r>
        <w:rPr>
          <w:i/>
        </w:rPr>
        <w:t xml:space="preserve">Optional</w:t>
      </w:r>
      <w:r>
        <w:rPr/>
        <w:t xml:space="preserve"> style text by completing the prompt to nominate the elements requiring a trial assembly and temporary erection and changing to </w:t>
      </w:r>
      <w:r>
        <w:rPr>
          <w:i/>
        </w:rPr>
        <w:t xml:space="preserve">Normal</w:t>
      </w:r>
      <w:r>
        <w:rPr/>
        <w:t xml:space="preserve"> style text.</w:t>
      </w:r>
    </w:p>
    <w:p>
      <w:pPr>
        <w:pStyle w:val="Instructions"/>
      </w:pPr>
      <w:r>
        <w:rPr/>
        <w:t xml:space="preserve">Refer to AS/NZS 5131 (2016) clauses 6.10 and 11.5.10.</w:t>
      </w:r>
    </w:p>
    <w:bookmarkEnd w:id="177"/>
    <w:bookmarkStart w:name="f-10156-10" w:id="179"/>
    <w:p>
      <w:pPr>
        <w:pStyle w:val="Heading3"/>
      </w:pPr>
      <w:bookmarkStart w:name="h-10156-10" w:id="180"/>
      <w:r>
        <w:rPr/>
        <w:t xml:space="preserve">WELDING</w:t>
      </w:r>
      <w:bookmarkEnd w:id="180"/>
    </w:p>
    <w:bookmarkEnd w:id="179"/>
    <w:bookmarkStart w:name="f-10156-11" w:id="181"/>
    <w:p>
      <w:pPr>
        <w:pStyle w:val="Heading4"/>
      </w:pPr>
      <w:bookmarkStart w:name="h-10156-11" w:id="182"/>
      <w:r>
        <w:rPr/>
        <w:t xml:space="preserve">General</w:t>
      </w:r>
      <w:bookmarkEnd w:id="182"/>
    </w:p>
    <w:p>
      <w:pPr>
        <w:pStyle w:val="Body Text"/>
      </w:pPr>
      <w:r>
        <w:rPr/>
        <w:t xml:space="preserve">Requirements: To AS/NZS 5131 (2016) Section 7.</w:t>
      </w:r>
    </w:p>
    <w:p>
      <w:pPr>
        <w:pStyle w:val="Instructions"/>
      </w:pPr>
      <w:r>
        <w:rPr/>
        <w:t xml:space="preserve">In the welding plan include requirements for non-treatment to surfaces affected by stray arc strikes, additional requirements for the dressing of butt welds and acceptance criteria or assessment of non-conformity allowable other than that in the relevant part of the AS/NZS 1554 series.</w:t>
      </w:r>
    </w:p>
    <w:p>
      <w:pPr>
        <w:pStyle w:val="Body Text"/>
      </w:pPr>
      <w:r>
        <w:rPr/>
        <w:t xml:space="preserve">Standard: To AS/NZS 1554.1 (2014).</w:t>
      </w:r>
    </w:p>
    <w:p>
      <w:pPr>
        <w:pStyle w:val="Instructions"/>
      </w:pPr>
      <w:r>
        <w:rPr/>
        <w:t xml:space="preserve">Other parts of AS/NZS 1554 may also need to be referenced e.g. AS 1554.2 (2021) for studs or AS/NZS 1554.5 (2014) for elements subjected to fatigue loading. See also Weld Australia TN11 (2018) for a commentary on the series. Some additional requirements, which may need to be stated in the contract, are discussed in AS/NZS 1554.1 (2014) Appendix D and AS/NZS 1554.5 (2014) Appendix D. Refer to ASI TN008 (2012) for information on welding consumables and design.</w:t>
      </w:r>
    </w:p>
    <w:p>
      <w:pPr>
        <w:pStyle w:val="Instructions"/>
      </w:pPr>
      <w:r>
        <w:rPr/>
        <w:t xml:space="preserve">Document any additional project welding requirements.</w:t>
      </w:r>
    </w:p>
    <w:p>
      <w:pPr>
        <w:pStyle w:val="Instructions"/>
      </w:pPr>
      <w:r>
        <w:rPr/>
        <w:t xml:space="preserve">The ASI recommends that parent steel materials with a chemical composition of total boron equal to or exceeding 0.0008%, require requalification of welding procedures using the higher boron content material. The value of 0.0008% is taken from SA TS 102 (2016), which specifies limits for elements in the chemical composition of structural steel below which they would be considered residual and not intentionally added.</w:t>
      </w:r>
    </w:p>
    <w:bookmarkEnd w:id="181"/>
    <w:bookmarkStart w:name="f-10156-12" w:id="183"/>
    <w:p>
      <w:pPr>
        <w:pStyle w:val="Heading4"/>
      </w:pPr>
      <w:bookmarkStart w:name="h-10156-12" w:id="184"/>
      <w:r>
        <w:rPr/>
        <w:t xml:space="preserve">Weld category</w:t>
      </w:r>
      <w:bookmarkEnd w:id="184"/>
    </w:p>
    <w:p>
      <w:pPr>
        <w:pStyle w:val="Body Text"/>
      </w:pPr>
      <w:r>
        <w:rPr/>
        <w:t xml:space="preserve">Weld categories not documented: Category GP.</w:t>
      </w:r>
    </w:p>
    <w:p>
      <w:pPr>
        <w:pStyle w:val="Instructions"/>
      </w:pPr>
      <w:r>
        <w:rPr/>
        <w:t xml:space="preserve">Document all weld categories on the drawings.</w:t>
      </w:r>
    </w:p>
    <w:bookmarkEnd w:id="183"/>
    <w:bookmarkStart w:name="f-10156-13" w:id="185"/>
    <w:p>
      <w:pPr>
        <w:pStyle w:val="Heading4"/>
      </w:pPr>
      <w:bookmarkStart w:name="h-10156-13" w:id="186"/>
      <w:r>
        <w:rPr/>
        <w:t xml:space="preserve">Weld type</w:t>
      </w:r>
      <w:bookmarkEnd w:id="186"/>
    </w:p>
    <w:p>
      <w:pPr>
        <w:pStyle w:val="Body Text"/>
      </w:pPr>
      <w:r>
        <w:rPr/>
        <w:t xml:space="preserve">Weld type not documented: Prepare proposals for weld type and electrodes.</w:t>
      </w:r>
    </w:p>
    <w:p>
      <w:pPr>
        <w:pStyle w:val="Instructions"/>
      </w:pPr>
      <w:r>
        <w:rPr/>
        <w:t xml:space="preserve">Document all weld types on the drawings.</w:t>
      </w:r>
    </w:p>
    <w:p>
      <w:pPr>
        <w:pStyle w:val="Instructions"/>
      </w:pPr>
      <w:r>
        <w:rPr/>
        <w:t xml:space="preserve">For elements subjected to fatigue loading, refer to AS 4100 (2020) Section 11. Show welding details to AS/NZS 1554.5 (2014) on drawings.</w:t>
      </w:r>
    </w:p>
    <w:p>
      <w:pPr>
        <w:pStyle w:val="Prompt"/>
      </w:pPr>
      <w:r>
        <w:rPr/>
        <w:t xml:space="preserve">Butt weld run-on/run-off tabs: </w:t>
      </w:r>
      <w:r>
        <w:fldChar w:fldCharType="begin"/>
        <w:instrText xml:space="preserve"> MACROBUTTON  ac_OnHelp [complete/delete]</w:instrText>
        <w:fldChar w:fldCharType="separate"/>
        <w:t xml:space="preserve"> </w:t>
        <w:fldChar w:fldCharType="end"/>
      </w:r>
    </w:p>
    <w:p>
      <w:pPr>
        <w:pStyle w:val="Instructions"/>
      </w:pPr>
      <w:r>
        <w:rPr/>
        <w:t xml:space="preserve">Nominate if permitted or not-permitted or nominate in welding plan. Refer to AS/NZS 5131 (2016) clause 7.5.9.1.</w:t>
      </w:r>
    </w:p>
    <w:bookmarkEnd w:id="185"/>
    <w:bookmarkStart w:name="f-10156-14" w:id="187"/>
    <w:p>
      <w:pPr>
        <w:pStyle w:val="Heading4"/>
      </w:pPr>
      <w:bookmarkStart w:name="h-10156-14" w:id="188"/>
      <w:r>
        <w:rPr/>
        <w:t xml:space="preserve">Stress relief treatment</w:t>
      </w:r>
      <w:bookmarkEnd w:id="188"/>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If required and not shown on the drawings, state here the extent and method (e.g. Post weld heat treatment).</w:t>
      </w:r>
    </w:p>
    <w:bookmarkEnd w:id="187"/>
    <w:bookmarkStart w:name="f-10156-15" w:id="189"/>
    <w:p>
      <w:pPr>
        <w:pStyle w:val="Heading4"/>
      </w:pPr>
      <w:bookmarkStart w:name="h-10156-15" w:id="190"/>
      <w:r>
        <w:rPr/>
        <w:t xml:space="preserve">Non-destructive weld examination (NDE)</w:t>
      </w:r>
      <w:bookmarkEnd w:id="190"/>
    </w:p>
    <w:p>
      <w:pPr>
        <w:pStyle w:val="Body Text"/>
      </w:pPr>
      <w:r>
        <w:rPr/>
        <w:t xml:space="preserve">Extent and type of NDE: To AS/NZS 5131 (2016) Table 13.6.2.2(A).</w:t>
      </w:r>
    </w:p>
    <w:p>
      <w:pPr>
        <w:pStyle w:val="Body Text"/>
      </w:pPr>
      <w:r>
        <w:rPr/>
        <w:t xml:space="preserve">Requirement: To AS/NZS 5131 (2016) clause 13.6.2.</w:t>
      </w:r>
    </w:p>
    <w:p>
      <w:pPr>
        <w:pStyle w:val="Instructions"/>
      </w:pPr>
      <w:r>
        <w:rPr/>
        <w:t xml:space="preserve">AS/NZS 5131 (2016) Tables 13.6.2.2(A) and 13.6.2.2(B) provide recommended extent and type for NDE. If additional NDE is required for seal welds, document requirements here. The ASI suggests that the recommended extent of NDE can be varied both up and down based on results to date.</w:t>
      </w:r>
    </w:p>
    <w:p>
      <w:pPr>
        <w:pStyle w:val="Instructions"/>
      </w:pPr>
      <w:r>
        <w:rPr/>
        <w:t xml:space="preserve">For construction category CC4, nominate the extent and type of NDE here or on the drawings. Structures designed for earthquake design categories D and E to AS 4100 (2020) or AS/NZS 5100.6 (2017) need to meet the requirements of AS/NZS 5131 (2016) Table 13.6.2.2(A) and Table 13.6.2.2(B), whichever is greater.</w:t>
      </w:r>
    </w:p>
    <w:p>
      <w:pPr>
        <w:pStyle w:val="Body Text"/>
      </w:pPr>
      <w:r>
        <w:rPr/>
        <w:t xml:space="preserve">Non-visual NDE: By a third party testing authority.</w:t>
      </w:r>
    </w:p>
    <w:p>
      <w:pPr>
        <w:pStyle w:val="Body Text"/>
      </w:pPr>
      <w:r>
        <w:rPr/>
        <w:t xml:space="preserve">Repairs: Repair welds revealed as faulty by NDE and repeat the examination.</w:t>
      </w:r>
    </w:p>
    <w:p>
      <w:pPr>
        <w:pStyle w:val="Instructions"/>
      </w:pPr>
      <w:r>
        <w:rPr/>
        <w:t xml:space="preserve">If it is acceptable for fracture mechanics, or other suitable methods of assessment, to be used to demonstrate that defects will not be injurious to the performance of the structure, document the methods here. Refer to AS/NZS 5131 (2016) clause 13.6.2.5.</w:t>
      </w:r>
    </w:p>
    <w:p>
      <w:pPr>
        <w:pStyle w:val="Instructions"/>
      </w:pPr>
      <w:r>
        <w:rPr/>
        <w:t xml:space="preserve">If any other testing, such as impact or production testing of welds is required, document requirements here or in welding plan. Refer to AS/NZS 5131 (2016) clause 7.4.</w:t>
      </w:r>
    </w:p>
    <w:bookmarkEnd w:id="189"/>
    <w:bookmarkStart w:name="f-10156-16" w:id="191"/>
    <w:p>
      <w:pPr>
        <w:pStyle w:val="Heading4"/>
      </w:pPr>
      <w:bookmarkStart w:name="h-10156-16" w:id="192"/>
      <w:r>
        <w:rPr/>
        <w:t xml:space="preserve">Site welds</w:t>
      </w:r>
      <w:bookmarkEnd w:id="192"/>
    </w:p>
    <w:p>
      <w:pPr>
        <w:pStyle w:val="Body Text"/>
      </w:pPr>
      <w:r>
        <w:rPr/>
        <w:t xml:space="preserve">Completion: Weld only when correct alignment and preset or camber have been achieved.</w:t>
      </w:r>
    </w:p>
    <w:bookmarkEnd w:id="191"/>
    <w:bookmarkStart w:name="f-10156-17" w:id="193"/>
    <w:p>
      <w:pPr>
        <w:pStyle w:val="Heading3"/>
      </w:pPr>
      <w:bookmarkStart w:name="h-10156-17" w:id="194"/>
      <w:r>
        <w:rPr/>
        <w:t xml:space="preserve">MECHANICAL FASTENING</w:t>
      </w:r>
      <w:bookmarkEnd w:id="194"/>
    </w:p>
    <w:bookmarkEnd w:id="193"/>
    <w:bookmarkStart w:name="f-10156-18" w:id="195"/>
    <w:p>
      <w:pPr>
        <w:pStyle w:val="Heading4"/>
      </w:pPr>
      <w:bookmarkStart w:name="h-10156-18" w:id="196"/>
      <w:r>
        <w:rPr/>
        <w:t xml:space="preserve">Connection contact surfaces</w:t>
      </w:r>
      <w:bookmarkEnd w:id="196"/>
    </w:p>
    <w:p>
      <w:pPr>
        <w:pStyle w:val="Body Text"/>
      </w:pPr>
      <w:r>
        <w:rPr/>
        <w:t xml:space="preserve">General: To AS/NZS 5131 (2016) clause 8.4.1.</w:t>
      </w:r>
    </w:p>
    <w:p>
      <w:pPr>
        <w:pStyle w:val="Body Text"/>
      </w:pPr>
      <w:r>
        <w:rPr/>
        <w:t xml:space="preserve">Bolting categories 8.8/TF and 10.9/TF: Clean, as rolled and free from applied finishes.</w:t>
      </w:r>
    </w:p>
    <w:p>
      <w:pPr>
        <w:pStyle w:val="Instructions"/>
      </w:pPr>
      <w:r>
        <w:rPr/>
        <w:t xml:space="preserve">Document friction-type (TF) connections on the drawings. Refer to AS/NZS 5131 (2016) clause 8.4.2.</w:t>
      </w:r>
    </w:p>
    <w:p>
      <w:pPr>
        <w:pStyle w:val="Instructions"/>
      </w:pPr>
      <w:r>
        <w:rPr/>
        <w:t xml:space="preserve">Refer to AS 4100 (2020) clause 9.2.3.2 and Appendix J for testing requirements when applied finishes or other surface conditions are specified for the contact surface.</w:t>
      </w:r>
    </w:p>
    <w:bookmarkEnd w:id="195"/>
    <w:bookmarkStart w:name="f-10156-19" w:id="197"/>
    <w:p>
      <w:pPr>
        <w:pStyle w:val="Heading4"/>
      </w:pPr>
      <w:bookmarkStart w:name="h-10156-19" w:id="198"/>
      <w:r>
        <w:rPr/>
        <w:t xml:space="preserve">Washers</w:t>
      </w:r>
      <w:bookmarkEnd w:id="198"/>
    </w:p>
    <w:p>
      <w:pPr>
        <w:pStyle w:val="Body Text"/>
      </w:pPr>
      <w:r>
        <w:rPr/>
        <w:t xml:space="preserve">Requirement: Place one washer under the part rotated during tightening process (nut or bolt head).</w:t>
      </w:r>
    </w:p>
    <w:p>
      <w:pPr>
        <w:pStyle w:val="Instructions"/>
      </w:pPr>
      <w:r>
        <w:rPr/>
        <w:t xml:space="preserve">To limit the need for touch up of paint damaged by the tightening process, a washer may be placed under both the nut and the bolt head. If required, edit text above. Refer to AS/NZS 5131 (2016) clause 8.2.4.</w:t>
      </w:r>
    </w:p>
    <w:bookmarkEnd w:id="197"/>
    <w:bookmarkStart w:name="f-10156-20" w:id="199"/>
    <w:p>
      <w:pPr>
        <w:pStyle w:val="OptionalHeading4"/>
      </w:pPr>
      <w:bookmarkStart w:name="h-10156-20" w:id="200"/>
      <w:r>
        <w:rPr/>
        <w:t xml:space="preserve">Lock nuts</w:t>
      </w:r>
      <w:bookmarkEnd w:id="200"/>
    </w:p>
    <w:p>
      <w:pPr>
        <w:pStyle w:val="OptionalNormal"/>
      </w:pPr>
      <w:r>
        <w:rPr/>
        <w:t xml:space="preserve">General: Provide lock nuts to AS/NZS 5131 (2016) clause 8.2.3 for bolts in moving parts or parts subject to vibration and for vertical bolts in tension.</w:t>
      </w:r>
    </w:p>
    <w:p>
      <w:pPr>
        <w:pStyle w:val="Instructions"/>
      </w:pPr>
      <w:r>
        <w:rPr/>
        <w:t xml:space="preserve">If lock nuts are required, include this </w:t>
      </w:r>
      <w:r>
        <w:rPr>
          <w:i/>
        </w:rPr>
        <w:t xml:space="preserve">Optiona</w:t>
      </w:r>
      <w:r>
        <w:rPr/>
        <w:t xml:space="preserve">l style text by changing to </w:t>
      </w:r>
      <w:r>
        <w:rPr>
          <w:i/>
        </w:rPr>
        <w:t xml:space="preserve">Normal</w:t>
      </w:r>
      <w:r>
        <w:rPr/>
        <w:t xml:space="preserve"> style text. Edit text as necessary and show position of lock nuts on drawings. Lock nuts should not be required for tensioned connections.</w:t>
      </w:r>
    </w:p>
    <w:bookmarkEnd w:id="199"/>
    <w:bookmarkStart w:name="f-10156-21" w:id="201"/>
    <w:p>
      <w:pPr>
        <w:pStyle w:val="Heading4"/>
      </w:pPr>
      <w:bookmarkStart w:name="h-10156-21" w:id="202"/>
      <w:r>
        <w:rPr/>
        <w:t xml:space="preserve">Method of tensioning TB and TF bolting categories</w:t>
      </w:r>
      <w:bookmarkEnd w:id="202"/>
    </w:p>
    <w:p>
      <w:pPr>
        <w:pStyle w:val="Body Text"/>
      </w:pPr>
      <w:r>
        <w:rPr/>
        <w:t xml:space="preserve">8.8/TB and 8.8/TF: Use part-turn method or a direct tension indicator device.</w:t>
      </w:r>
    </w:p>
    <w:p>
      <w:pPr>
        <w:pStyle w:val="Body Text"/>
      </w:pPr>
      <w:r>
        <w:rPr/>
        <w:t xml:space="preserve">10.9/TB and 10.9/TF: Use a direct tension indicator device.</w:t>
      </w:r>
    </w:p>
    <w:p>
      <w:pPr>
        <w:pStyle w:val="Instructions"/>
      </w:pPr>
      <w:r>
        <w:rPr/>
        <w:t xml:space="preserve">Refer to AS/NZS 5131 (2016) clause 8.5. If the part-turn method is being used, nominate if permanent location marks are required for later inspection. </w:t>
      </w:r>
    </w:p>
    <w:p>
      <w:pPr>
        <w:pStyle w:val="Instructions"/>
      </w:pPr>
      <w:r>
        <w:rPr/>
        <w:t xml:space="preserve">AS/NZS 5131 (2016) clause 8.5.5 states that the part-turn method of tensioning shall not be utilized for Grade 10.9 bolts unless the suitability of the method to develop the minimum bolt tension has been ascertained. If previously ascertained, edit text above to allow the part-turn method for Grade 10.9 bolts also.</w:t>
      </w:r>
    </w:p>
    <w:bookmarkEnd w:id="201"/>
    <w:bookmarkStart w:name="f-10156-22" w:id="203"/>
    <w:p>
      <w:pPr>
        <w:pStyle w:val="Heading4"/>
      </w:pPr>
      <w:bookmarkStart w:name="h-10156-22" w:id="204"/>
      <w:r>
        <w:rPr/>
        <w:t xml:space="preserve">Permanent bolting</w:t>
      </w:r>
      <w:bookmarkEnd w:id="204"/>
    </w:p>
    <w:p>
      <w:pPr>
        <w:pStyle w:val="Body Text"/>
      </w:pPr>
      <w:r>
        <w:rPr/>
        <w:t xml:space="preserve">Completion: Bolt only when correct alignment and preset or camber has been achieved.</w:t>
      </w:r>
    </w:p>
    <w:bookmarkEnd w:id="203"/>
    <w:bookmarkStart w:name="f-10156-23" w:id="205"/>
    <w:p>
      <w:pPr>
        <w:pStyle w:val="Heading3"/>
      </w:pPr>
      <w:bookmarkStart w:name="h-10156-23" w:id="206"/>
      <w:r>
        <w:rPr/>
        <w:t xml:space="preserve">SURFACE PREPARATION AND TREATMENT</w:t>
      </w:r>
      <w:bookmarkEnd w:id="206"/>
    </w:p>
    <w:bookmarkEnd w:id="205"/>
    <w:bookmarkStart w:name="f-10156-24" w:id="207"/>
    <w:p>
      <w:pPr>
        <w:pStyle w:val="Heading4"/>
      </w:pPr>
      <w:bookmarkStart w:name="h-10156-24" w:id="208"/>
      <w:r>
        <w:rPr/>
        <w:t xml:space="preserve">General</w:t>
      </w:r>
      <w:bookmarkEnd w:id="208"/>
    </w:p>
    <w:p>
      <w:pPr>
        <w:pStyle w:val="Body Text"/>
      </w:pPr>
      <w:r>
        <w:rPr/>
        <w:t xml:space="preserve">Requirement: Conform to </w:t>
      </w:r>
      <w:r>
        <w:rPr>
          <w:i/>
        </w:rPr>
        <w:t xml:space="preserve">0344 Steel - hot-dip galvanized coatings</w:t>
      </w:r>
      <w:r>
        <w:rPr/>
        <w:t xml:space="preserve"> and/or </w:t>
      </w:r>
      <w:r>
        <w:rPr>
          <w:i/>
        </w:rPr>
        <w:t xml:space="preserve">0345 Steel - protective paint coatings</w:t>
      </w:r>
      <w:r>
        <w:rPr/>
        <w:t xml:space="preserve">, as appropriate.</w:t>
      </w:r>
    </w:p>
    <w:p>
      <w:pPr>
        <w:pStyle w:val="Instructions"/>
      </w:pPr>
      <w:r>
        <w:rPr/>
        <w:t xml:space="preserve">For guidance on steel corrosion, coatings, and design and detailing for corrosion protection, refer to the ASI </w:t>
      </w:r>
      <w:r>
        <w:rPr>
          <w:i/>
        </w:rPr>
        <w:t xml:space="preserve">Australian steelwork corrosion and coatings guide (2015)</w:t>
      </w:r>
      <w:r>
        <w:rPr/>
        <w:t xml:space="preserve"> and </w:t>
      </w:r>
      <w:r>
        <w:rPr>
          <w:i/>
        </w:rPr>
        <w:t xml:space="preserve">ASI Journal Steel construction (2015) (Volume 47 Number 2)</w:t>
      </w:r>
      <w:r>
        <w:rPr/>
        <w:t xml:space="preserve">.</w:t>
      </w:r>
    </w:p>
    <w:p>
      <w:pPr>
        <w:pStyle w:val="Instructions"/>
      </w:pPr>
      <w:r>
        <w:rPr/>
        <w:t xml:space="preserve">If no surface preparation or treatment is considered necessary, delete text above and state that no surface preparation or treatment is required.</w:t>
      </w:r>
    </w:p>
    <w:bookmarkEnd w:id="207"/>
    <w:bookmarkStart w:name="f-10156-25" w:id="209"/>
    <w:p>
      <w:pPr>
        <w:pStyle w:val="OptionalHeading4"/>
      </w:pPr>
      <w:bookmarkStart w:name="h-10156-25" w:id="210"/>
      <w:r>
        <w:rPr/>
        <w:t xml:space="preserve">General</w:t>
      </w:r>
      <w:bookmarkEnd w:id="210"/>
    </w:p>
    <w:p>
      <w:pPr>
        <w:pStyle w:val="OptionalNormal"/>
      </w:pPr>
      <w:r>
        <w:rPr/>
        <w:t xml:space="preserve">Requirement: Coat structural steelwork not encased in concrete.</w:t>
      </w:r>
    </w:p>
    <w:p>
      <w:pPr>
        <w:pStyle w:val="Instructions"/>
      </w:pPr>
      <w:r>
        <w:rPr/>
        <w:t xml:space="preserve">There are situations where coating steelwork to protect against damaging corrosion is neither necessary nor economically feasible, such as where anticipated corrosion rates are too low to compromise the structure, steelwork is to be encased for fire-resistance or sacrificial corrosion of sections has been allowed for in the selection of section thicknesses. AS/NZS 2312.2 (2014) clause 6.1 discusses when coating may not be required and AS 2312.1 (2014) clause 1.2 lists typical situations for which coating for corrosion resistance is not required. It also lists reasons other than protection for which steelwork may be surface treated, including aesthetics.</w:t>
      </w:r>
    </w:p>
    <w:p>
      <w:pPr>
        <w:pStyle w:val="Instructions"/>
      </w:pPr>
      <w:r>
        <w:rPr/>
        <w:t xml:space="preserve">For these situations replace the </w:t>
      </w:r>
      <w:r>
        <w:rPr>
          <w:b/>
        </w:rPr>
        <w:t xml:space="preserve">General</w:t>
      </w:r>
      <w:r>
        <w:rPr/>
        <w:t xml:space="preserve"> subclause above, with this </w:t>
      </w:r>
      <w:r>
        <w:rPr>
          <w:i/>
        </w:rPr>
        <w:t xml:space="preserve">Optional</w:t>
      </w:r>
      <w:r>
        <w:rPr/>
        <w:t xml:space="preserve"> style text.</w:t>
      </w:r>
    </w:p>
    <w:p>
      <w:pPr>
        <w:pStyle w:val="OptionalNormal"/>
      </w:pPr>
      <w:r>
        <w:rPr/>
        <w:t xml:space="preserve">Treatment grade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Nominate required treatment grade. See AS/NZS 5131 (2016) clauses 4.1.3 and 9.8.4 to determine the treatment grade (P1 to P3). Generally, treatment grade P2 applies for painting. Treatment grade P3 would generally apply for AESS. See AS 8501.3 (2022) Table 1 for illustrations of imperfections, and requirements for each treatment grade.</w:t>
      </w:r>
    </w:p>
    <w:p>
      <w:pPr>
        <w:pStyle w:val="OptionalNormal"/>
      </w:pPr>
      <w:r>
        <w:rPr/>
        <w:t xml:space="preserve">Surface preparation: To AS/NZS 5131 (2016) clause 9.3.2.</w:t>
      </w:r>
    </w:p>
    <w:p>
      <w:pPr>
        <w:pStyle w:val="OptionalNormal"/>
      </w:pPr>
      <w:r>
        <w:rPr/>
        <w:t xml:space="preserve">Abrasive blasting to AS 1627.4 (2005): Blast as follows:</w:t>
      </w:r>
    </w:p>
    <w:p>
      <w:pPr>
        <w:pStyle w:val="OptionalNormalIndent"/>
      </w:pPr>
      <w:r>
        <w:rPr/>
        <w:t xml:space="preserve">AESS: Class 2 blast and to the requirements of AS/NZS 5131 (2016) Section 10.</w:t>
      </w:r>
    </w:p>
    <w:p>
      <w:pPr>
        <w:pStyle w:val="OptionalNormalIndent"/>
      </w:pPr>
      <w:r>
        <w:rPr/>
        <w:t xml:space="preserve">Other steelwork: Class 1 blast.</w:t>
      </w:r>
    </w:p>
    <w:p>
      <w:pPr>
        <w:pStyle w:val="Instructions"/>
      </w:pPr>
      <w:r>
        <w:rPr/>
        <w:t xml:space="preserve">Edit to suit anticipated equipment availability e.g. power wire brush in lieu of blasting.</w:t>
      </w:r>
    </w:p>
    <w:bookmarkEnd w:id="209"/>
    <w:bookmarkStart w:name="f-10156-52" w:id="211"/>
    <w:p>
      <w:pPr>
        <w:pStyle w:val="OptionalNormal"/>
      </w:pPr>
      <w:r>
        <w:rPr/>
        <w:t xml:space="preserve">Coating: Coat prepared steelwork to AS/NZS 5131 (2016) clause 9.9 and as follows:</w:t>
      </w:r>
    </w:p>
    <w:p>
      <w:pPr>
        <w:pStyle w:val="OptionalNormalIndent"/>
      </w:pPr>
      <w:r>
        <w:rPr/>
        <w:t xml:space="preserve">Primer: Zinc phosphate primer.</w:t>
      </w:r>
    </w:p>
    <w:p>
      <w:pPr>
        <w:pStyle w:val="Instructions"/>
      </w:pPr>
      <w:r>
        <w:rPr/>
        <w:t xml:space="preserve">If a particular colour or manufacturer is required, enter details here.</w:t>
      </w:r>
    </w:p>
    <w:p>
      <w:pPr>
        <w:pStyle w:val="OptionalNormalIndent"/>
      </w:pPr>
      <w:r>
        <w:rPr/>
        <w:t xml:space="preserve">Thickness: 75 µm. Verify and record thickness.</w:t>
      </w:r>
    </w:p>
    <w:p>
      <w:pPr>
        <w:pStyle w:val="Instructions"/>
      </w:pPr>
      <w:r>
        <w:rPr/>
        <w:t xml:space="preserve">Edit default thickness if necessary.</w:t>
      </w:r>
    </w:p>
    <w:p>
      <w:pPr>
        <w:pStyle w:val="OptionalNormalIndent"/>
      </w:pPr>
      <w:r>
        <w:rPr/>
        <w:t xml:space="preserve">Time delay: Prime the steel surface as soon as possible after surface preparation (maximum 4 hours if outdoors) and before the surface deteriorates. If the surface is contaminated or rust bloomed, repeat surface preparation before priming.</w:t>
      </w:r>
    </w:p>
    <w:p>
      <w:pPr>
        <w:pStyle w:val="OptionalNormalIndent"/>
      </w:pPr>
      <w:r>
        <w:rPr/>
        <w:t xml:space="preserve">Concrete encasing: Where members are to be part concrete encased, extend the priming 50 mm into the surface to be encased.</w:t>
      </w:r>
    </w:p>
    <w:p>
      <w:pPr>
        <w:pStyle w:val="OptionalNormalIndent"/>
      </w:pPr>
      <w:r>
        <w:rPr/>
        <w:t xml:space="preserve">Clearances: Keep priming clear of members and components to be site welded, and surfaces against which concrete is to be poured (including concrete encasing except as noted above). On completion of site welding, of concrete pouring and of 8.8/TF and 10.9/TF bolting, prime to completely cover exposed surfaces.</w:t>
      </w:r>
    </w:p>
    <w:p>
      <w:pPr>
        <w:pStyle w:val="OptionalNormalIndent"/>
      </w:pPr>
      <w:r>
        <w:rPr/>
        <w:t xml:space="preserve">Inaccessible surfaces: Where surfaces will be in contact or near contact after fabrication or erection, apply the finish and allow it to dry before assembly.</w:t>
      </w:r>
    </w:p>
    <w:p>
      <w:pPr>
        <w:pStyle w:val="OptionalNormal"/>
      </w:pPr>
      <w:r>
        <w:rPr/>
        <w:t xml:space="preserve">Marking: On the contact surfaces of friction type joints, minimise the use of marking ink for marking hole positions.</w:t>
      </w:r>
    </w:p>
    <w:p>
      <w:pPr>
        <w:pStyle w:val="OptionalNormal"/>
      </w:pPr>
      <w:r>
        <w:rPr/>
        <w:t xml:space="preserve">Shop work: Where possible, apply the primer to the structural steel before delivery to the site.</w:t>
      </w:r>
    </w:p>
    <w:p>
      <w:pPr>
        <w:pStyle w:val="OptionalNormal"/>
      </w:pPr>
      <w:r>
        <w:rPr/>
        <w:t xml:space="preserve">Transport and handling: Do not damage the paintwork.</w:t>
      </w:r>
    </w:p>
    <w:p>
      <w:pPr>
        <w:pStyle w:val="Instructions"/>
      </w:pPr>
      <w:r>
        <w:rPr/>
        <w:t xml:space="preserve">Specify the desired result or outcome, leaving the method (e.g. protection, waiting until the paint is dry) up to the contractor.</w:t>
      </w:r>
    </w:p>
    <w:p>
      <w:pPr>
        <w:pStyle w:val="OptionalNormal"/>
      </w:pPr>
      <w:r>
        <w:rPr/>
        <w:t xml:space="preserve">Site work: After erection, repair damage to the shop coating and apply any coating omitted at site connections.</w:t>
      </w:r>
    </w:p>
    <w:p>
      <w:pPr>
        <w:pStyle w:val="Instructions"/>
      </w:pPr>
      <w:r>
        <w:rPr/>
        <w:t xml:space="preserve">Decorative finishes, and on-site touch up to the paint coatings specified here, are covered in </w:t>
      </w:r>
      <w:r>
        <w:rPr>
          <w:i/>
        </w:rPr>
        <w:t xml:space="preserve">0671 Painting</w:t>
      </w:r>
      <w:r>
        <w:rPr/>
        <w:t xml:space="preserve">.</w:t>
      </w:r>
    </w:p>
    <w:p>
      <w:pPr>
        <w:pStyle w:val="Instructions"/>
      </w:pPr>
      <w:r>
        <w:rPr/>
        <w:t xml:space="preserve">Refer also to </w:t>
      </w:r>
      <w:r>
        <w:rPr>
          <w:i/>
        </w:rPr>
        <w:t xml:space="preserve">0183 Metals and prefinishes</w:t>
      </w:r>
      <w:r>
        <w:rPr/>
        <w:t xml:space="preserve">.</w:t>
      </w:r>
    </w:p>
    <w:bookmarkEnd w:id="211"/>
    <w:bookmarkStart w:name="f-10156-26" w:id="212"/>
    <w:p>
      <w:pPr>
        <w:pStyle w:val="Heading3"/>
      </w:pPr>
      <w:bookmarkStart w:name="h-10156-26" w:id="213"/>
      <w:r>
        <w:rPr/>
        <w:t xml:space="preserve">SPECIAL FINISHES</w:t>
      </w:r>
      <w:bookmarkEnd w:id="213"/>
    </w:p>
    <w:bookmarkEnd w:id="212"/>
    <w:bookmarkStart w:name="f-10156-27" w:id="214"/>
    <w:p>
      <w:pPr>
        <w:pStyle w:val="Heading4"/>
      </w:pPr>
      <w:bookmarkStart w:name="h-10156-27" w:id="215"/>
      <w:r>
        <w:rPr/>
        <w:t xml:space="preserve">General</w:t>
      </w:r>
      <w:bookmarkEnd w:id="215"/>
    </w:p>
    <w:p>
      <w:pPr>
        <w:pStyle w:val="Body Text"/>
      </w:pPr>
      <w:r>
        <w:rPr/>
        <w:t xml:space="preserve">Requirement: Apply special finishes, as documented.</w:t>
      </w:r>
    </w:p>
    <w:p>
      <w:pPr>
        <w:pStyle w:val="Instructions"/>
      </w:pPr>
      <w:r>
        <w:rPr/>
        <w:t xml:space="preserve">Document requirements in the </w:t>
      </w:r>
      <w:r>
        <w:rPr>
          <w:b/>
        </w:rPr>
        <w:t xml:space="preserve">Special finishes schedule</w:t>
      </w:r>
      <w:r>
        <w:rPr/>
        <w:t xml:space="preserve">. This clause can be applied if surfaces of steel members or welds are to be dressed after fabrication for appearance or other purposes. Such finishes are generally assessed by comparing to a sample. They would typically be surfaces of steel members or welds to be dressed by abrasive blasting or grinding, either for appearance or as part of a connecting or contact surface.</w:t>
      </w:r>
    </w:p>
    <w:p>
      <w:pPr>
        <w:pStyle w:val="Instructions"/>
      </w:pPr>
      <w:r>
        <w:rPr/>
        <w:t xml:space="preserve">It is preferable to document these requirements on the drawings. If the special finishes require the steelwork to be classified as AESS, then document the requirements in </w:t>
      </w:r>
      <w:r>
        <w:rPr>
          <w:b/>
        </w:rPr>
        <w:t xml:space="preserve">ARCHITECTURALLY EXPOSED STRUCTURAL STEELWORK</w:t>
      </w:r>
      <w:r>
        <w:rPr/>
        <w:t xml:space="preserve">. Edit or delete the </w:t>
      </w:r>
      <w:r>
        <w:rPr>
          <w:b/>
        </w:rPr>
        <w:t xml:space="preserve">Special finishes schedule</w:t>
      </w:r>
      <w:r>
        <w:rPr/>
        <w:t xml:space="preserve">, as required. If deleted, also remove all reference to the </w:t>
      </w:r>
      <w:r>
        <w:rPr>
          <w:b/>
        </w:rPr>
        <w:t xml:space="preserve">Special finishes schedule</w:t>
      </w:r>
      <w:r>
        <w:rPr/>
        <w:t xml:space="preserve"> in the worksection.</w:t>
      </w:r>
    </w:p>
    <w:bookmarkEnd w:id="214"/>
    <w:bookmarkStart w:name="f-10156-28" w:id="216"/>
    <w:p>
      <w:pPr>
        <w:pStyle w:val="Heading3"/>
      </w:pPr>
      <w:bookmarkStart w:name="h-10156-28" w:id="217"/>
      <w:r>
        <w:rPr/>
        <w:t xml:space="preserve">METAL SPRAYING</w:t>
      </w:r>
      <w:bookmarkEnd w:id="217"/>
    </w:p>
    <w:bookmarkEnd w:id="216"/>
    <w:bookmarkStart w:name="f-10156-29" w:id="218"/>
    <w:p>
      <w:pPr>
        <w:pStyle w:val="Heading4"/>
      </w:pPr>
      <w:bookmarkStart w:name="h-10156-29" w:id="219"/>
      <w:r>
        <w:rPr/>
        <w:t xml:space="preserve">General</w:t>
      </w:r>
      <w:bookmarkEnd w:id="219"/>
    </w:p>
    <w:p>
      <w:pPr>
        <w:pStyle w:val="Body Text"/>
      </w:pPr>
      <w:r>
        <w:rPr/>
        <w:t xml:space="preserve">Standard: To ISO 2063-2 (2017).</w:t>
      </w:r>
    </w:p>
    <w:p>
      <w:pPr>
        <w:pStyle w:val="Body Text"/>
      </w:pPr>
      <w:r>
        <w:rPr/>
        <w:t xml:space="preserve">Requirement: Apply sprayed metal, as documented.</w:t>
      </w:r>
    </w:p>
    <w:p>
      <w:pPr>
        <w:pStyle w:val="Instructions"/>
      </w:pPr>
      <w:r>
        <w:rPr/>
        <w:t xml:space="preserve">Document requirements in the </w:t>
      </w:r>
      <w:r>
        <w:rPr>
          <w:b/>
        </w:rPr>
        <w:t xml:space="preserve">Metal spray schedule</w:t>
      </w:r>
      <w:r>
        <w:rPr/>
        <w:t xml:space="preserve">.</w:t>
      </w:r>
    </w:p>
    <w:p>
      <w:pPr>
        <w:pStyle w:val="Body Text"/>
      </w:pPr>
      <w:r>
        <w:rPr/>
        <w:t xml:space="preserve">Process: Electric arc.</w:t>
      </w:r>
    </w:p>
    <w:p>
      <w:pPr>
        <w:pStyle w:val="Body Text"/>
      </w:pPr>
      <w:r>
        <w:rPr/>
        <w:t xml:space="preserve">Application: Apply the coating as soon as possible after blasting.</w:t>
      </w:r>
    </w:p>
    <w:p>
      <w:pPr>
        <w:pStyle w:val="Instructions"/>
      </w:pPr>
      <w:r>
        <w:rPr/>
        <w:t xml:space="preserve">Delete clause and </w:t>
      </w:r>
      <w:r>
        <w:rPr>
          <w:b/>
        </w:rPr>
        <w:t xml:space="preserve">Metal spray schedule</w:t>
      </w:r>
      <w:r>
        <w:rPr/>
        <w:t xml:space="preserve"> if no metal spray finishes are required.</w:t>
      </w:r>
    </w:p>
    <w:bookmarkEnd w:id="218"/>
    <w:bookmarkStart w:name="f-10156-30" w:id="220"/>
    <w:p>
      <w:pPr>
        <w:pStyle w:val="Heading3"/>
      </w:pPr>
      <w:bookmarkStart w:name="h-10156-30" w:id="221"/>
      <w:r>
        <w:rPr/>
        <w:t xml:space="preserve">FIRE PROTECTION COATINGS</w:t>
      </w:r>
      <w:bookmarkEnd w:id="221"/>
    </w:p>
    <w:bookmarkEnd w:id="220"/>
    <w:bookmarkStart w:name="f-10156-31" w:id="222"/>
    <w:p>
      <w:pPr>
        <w:pStyle w:val="Heading4"/>
      </w:pPr>
      <w:bookmarkStart w:name="h-10156-31" w:id="223"/>
      <w:r>
        <w:rPr/>
        <w:t xml:space="preserve">General</w:t>
      </w:r>
      <w:bookmarkEnd w:id="223"/>
    </w:p>
    <w:p>
      <w:pPr>
        <w:pStyle w:val="Body Text"/>
      </w:pPr>
      <w:r>
        <w:rPr/>
        <w:t xml:space="preserve">Requirement: Apply fire protection to structural steelwork to </w:t>
      </w:r>
      <w:r>
        <w:rPr>
          <w:i/>
        </w:rPr>
        <w:t xml:space="preserve">0346 Structural fire protection systems</w:t>
      </w:r>
      <w:r>
        <w:rPr/>
        <w:t xml:space="preserve">.</w:t>
      </w:r>
    </w:p>
    <w:p>
      <w:pPr>
        <w:pStyle w:val="Instructions"/>
      </w:pPr>
      <w:r>
        <w:rPr/>
        <w:t xml:space="preserve">Make sure </w:t>
      </w:r>
      <w:r>
        <w:rPr>
          <w:i/>
        </w:rPr>
        <w:t xml:space="preserve">0346 Structural fire protection systems</w:t>
      </w:r>
      <w:r>
        <w:rPr/>
        <w:t xml:space="preserve"> is included in the specification. Delete this clause if fire protection is not required.</w:t>
      </w:r>
    </w:p>
    <w:bookmarkEnd w:id="222"/>
    <w:bookmarkStart w:name="f-10156-32" w:id="224"/>
    <w:p>
      <w:pPr>
        <w:pStyle w:val="Heading3"/>
      </w:pPr>
      <w:bookmarkStart w:name="h-10156-32" w:id="225"/>
      <w:r>
        <w:rPr/>
        <w:t xml:space="preserve">ARCHITECTURALLY EXPOSED STRUCTURAL STEELWORK</w:t>
      </w:r>
      <w:bookmarkEnd w:id="225"/>
    </w:p>
    <w:p>
      <w:pPr>
        <w:pStyle w:val="Instructions"/>
      </w:pPr>
      <w:r>
        <w:rPr/>
        <w:t xml:space="preserve">Delete this clause and any other reference to AESS within this worksection if AESS is not proposed.</w:t>
      </w:r>
    </w:p>
    <w:bookmarkEnd w:id="224"/>
    <w:bookmarkStart w:name="f-10156-33" w:id="226"/>
    <w:p>
      <w:pPr>
        <w:pStyle w:val="Heading4"/>
      </w:pPr>
      <w:bookmarkStart w:name="h-10156-33" w:id="227"/>
      <w:r>
        <w:rPr/>
        <w:t xml:space="preserve">General</w:t>
      </w:r>
      <w:bookmarkEnd w:id="227"/>
    </w:p>
    <w:p>
      <w:pPr>
        <w:pStyle w:val="Body Text"/>
      </w:pPr>
      <w:r>
        <w:rPr/>
        <w:t xml:space="preserve">Requirement: Provide AESS to AS/NZS 5131 (2016) Section 10 and as documented.</w:t>
      </w:r>
    </w:p>
    <w:p>
      <w:pPr>
        <w:pStyle w:val="Instructions"/>
      </w:pPr>
      <w:r>
        <w:rPr/>
        <w:t xml:space="preserve">It is preferable to document AESS requirements on the drawings. Edit or delete the </w:t>
      </w:r>
      <w:r>
        <w:rPr>
          <w:b/>
        </w:rPr>
        <w:t xml:space="preserve">AESS schedule</w:t>
      </w:r>
      <w:r>
        <w:rPr/>
        <w:t xml:space="preserve">, as required.</w:t>
      </w:r>
    </w:p>
    <w:p>
      <w:pPr>
        <w:pStyle w:val="Instructions"/>
      </w:pPr>
      <w:r>
        <w:rPr/>
        <w:t xml:space="preserve">For further guidance, see the ASI and the ASI </w:t>
      </w:r>
      <w:r>
        <w:rPr>
          <w:i/>
        </w:rPr>
        <w:t xml:space="preserve">AESS Sample specification (for engineers) (2012)</w:t>
      </w:r>
      <w:r>
        <w:rPr/>
        <w:t xml:space="preserve">. These are available to download from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w:t>
      </w:r>
    </w:p>
    <w:bookmarkEnd w:id="226"/>
    <w:bookmarkStart w:name="f-10156-34" w:id="228"/>
    <w:p>
      <w:pPr>
        <w:pStyle w:val="Heading4"/>
      </w:pPr>
      <w:bookmarkStart w:name="h-10156-34" w:id="229"/>
      <w:r>
        <w:rPr/>
        <w:t xml:space="preserve">AESS category</w:t>
      </w:r>
      <w:bookmarkEnd w:id="229"/>
    </w:p>
    <w:p>
      <w:pPr>
        <w:pStyle w:val="Prompt"/>
      </w:pPr>
      <w:r>
        <w:rPr/>
        <w:t xml:space="preserve">AESS category to AS/NZS 5131 (2016) clause 10.2: </w:t>
      </w:r>
      <w:r>
        <w:fldChar w:fldCharType="begin"/>
        <w:instrText xml:space="preserve"> MACROBUTTON  ac_OnHelp [complete/delete]</w:instrText>
        <w:fldChar w:fldCharType="separate"/>
        <w:t xml:space="preserve"> </w:t>
        <w:fldChar w:fldCharType="end"/>
      </w:r>
    </w:p>
    <w:p>
      <w:pPr>
        <w:pStyle w:val="Instructions"/>
      </w:pPr>
      <w:r>
        <w:rPr/>
        <w:t xml:space="preserve">Clearly indicate all AESS on the drawings. If more than one AESS category is proposed, indicate locations on drawings and list additional requirements for each location either on the drawings or in the </w:t>
      </w:r>
      <w:r>
        <w:rPr>
          <w:b/>
        </w:rPr>
        <w:t xml:space="preserve">AESS schedule</w:t>
      </w:r>
      <w:r>
        <w:rPr/>
        <w:t xml:space="preserve">.</w:t>
      </w:r>
    </w:p>
    <w:p>
      <w:pPr>
        <w:pStyle w:val="Instructions"/>
      </w:pPr>
      <w:r>
        <w:rPr/>
        <w:t xml:space="preserve">AESS categories:</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 Nominate requirements for AESS C here or on drawings.</w:t>
      </w:r>
    </w:p>
    <w:bookmarkEnd w:id="228"/>
    <w:bookmarkStart w:name="f-10156-35" w:id="230"/>
    <w:p>
      <w:pPr>
        <w:pStyle w:val="Heading4"/>
      </w:pPr>
      <w:bookmarkStart w:name="h-10156-35" w:id="231"/>
      <w:r>
        <w:rPr/>
        <w:t xml:space="preserve">Fabrication</w:t>
      </w:r>
      <w:bookmarkEnd w:id="231"/>
    </w:p>
    <w:p>
      <w:pPr>
        <w:pStyle w:val="Body Text"/>
      </w:pPr>
      <w:r>
        <w:rPr/>
        <w:t xml:space="preserve">Requirements: To AS/NZS 5131 (2016) clause 10.4.</w:t>
      </w:r>
    </w:p>
    <w:p>
      <w:pPr>
        <w:pStyle w:val="Instructions"/>
      </w:pPr>
      <w:r>
        <w:rPr/>
        <w:t xml:space="preserve">For further information refer to the ASI </w:t>
      </w:r>
      <w:r>
        <w:rPr>
          <w:i/>
        </w:rPr>
        <w:t xml:space="preserve">AESS Code of Practice (for fabricators) (2012)</w:t>
      </w:r>
      <w:r>
        <w:rPr/>
        <w:t xml:space="preserve">, freely available from the ASI website.</w:t>
      </w:r>
    </w:p>
    <w:p>
      <w:pPr>
        <w:pStyle w:val="Body Text"/>
      </w:pPr>
      <w:r>
        <w:rPr/>
        <w:t xml:space="preserve">Corners and edges: Grind smooth sharp, marred, or roughened corners and edges.</w:t>
      </w:r>
    </w:p>
    <w:p>
      <w:pPr>
        <w:pStyle w:val="Body Text"/>
      </w:pPr>
      <w:r>
        <w:rPr/>
        <w:t xml:space="preserve">Rough surfaces: Deburr and grind smooth.</w:t>
      </w:r>
    </w:p>
    <w:bookmarkEnd w:id="230"/>
    <w:bookmarkStart w:name="f-10156-36" w:id="232"/>
    <w:p>
      <w:pPr>
        <w:pStyle w:val="Heading4"/>
      </w:pPr>
      <w:bookmarkStart w:name="h-10156-36" w:id="233"/>
      <w:r>
        <w:rPr/>
        <w:t xml:space="preserve">Erection</w:t>
      </w:r>
      <w:bookmarkEnd w:id="233"/>
    </w:p>
    <w:p>
      <w:pPr>
        <w:pStyle w:val="Body Text"/>
      </w:pPr>
      <w:r>
        <w:rPr/>
        <w:t xml:space="preserve">Additional requirements: To AS/NZS 5131 (2016) clause 10.5.</w:t>
      </w:r>
    </w:p>
    <w:bookmarkEnd w:id="232"/>
    <w:bookmarkStart w:name="f-10156-37" w:id="234"/>
    <w:p>
      <w:pPr>
        <w:pStyle w:val="Heading3"/>
      </w:pPr>
      <w:bookmarkStart w:name="h-10156-37" w:id="235"/>
      <w:r>
        <w:rPr/>
        <w:t xml:space="preserve">ERECTION</w:t>
      </w:r>
      <w:bookmarkEnd w:id="235"/>
    </w:p>
    <w:bookmarkEnd w:id="234"/>
    <w:bookmarkStart w:name="f-10156-38" w:id="236"/>
    <w:p>
      <w:pPr>
        <w:pStyle w:val="Heading4"/>
      </w:pPr>
      <w:bookmarkStart w:name="h-10156-38" w:id="237"/>
      <w:r>
        <w:rPr/>
        <w:t xml:space="preserve">General</w:t>
      </w:r>
      <w:bookmarkEnd w:id="237"/>
    </w:p>
    <w:p>
      <w:pPr>
        <w:pStyle w:val="Body Text"/>
      </w:pPr>
      <w:r>
        <w:rPr/>
        <w:t xml:space="preserve">Execution: Make sure every part of the structure has sufficient design capacity and is stable under construction loads produced by the construction procedure.</w:t>
      </w:r>
    </w:p>
    <w:p>
      <w:pPr>
        <w:pStyle w:val="OptionalNormal"/>
      </w:pPr>
      <w:r>
        <w:rPr/>
        <w:t xml:space="preserve">Calculations: Verify the adequacy of the structure to sustain any loads and/or procedures, which may be imposed.</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236"/>
    <w:bookmarkStart w:name="f-10156-39" w:id="238"/>
    <w:p>
      <w:pPr>
        <w:pStyle w:val="Heading4"/>
      </w:pPr>
      <w:bookmarkStart w:name="h-10156-39" w:id="239"/>
      <w:r>
        <w:rPr/>
        <w:t xml:space="preserve">Temporary work</w:t>
      </w:r>
      <w:bookmarkEnd w:id="239"/>
    </w:p>
    <w:p>
      <w:pPr>
        <w:pStyle w:val="Body Text"/>
      </w:pPr>
      <w:r>
        <w:rPr/>
        <w:t xml:space="preserve">General: Provide all necessary temporary bracing or propping.</w:t>
      </w:r>
    </w:p>
    <w:p>
      <w:pPr>
        <w:pStyle w:val="Body Text"/>
      </w:pPr>
      <w:r>
        <w:rPr/>
        <w:t xml:space="preserve">Temporary connections: Detail required cleats, if not shown on shop detail documentation.</w:t>
      </w:r>
    </w:p>
    <w:p>
      <w:pPr>
        <w:pStyle w:val="Instructions"/>
      </w:pPr>
      <w:r>
        <w:rPr/>
        <w:t xml:space="preserve">Certain connections may be restricted for AESS. Refer to </w:t>
      </w:r>
      <w:r>
        <w:rPr>
          <w:b/>
        </w:rPr>
        <w:t xml:space="preserve">ARCHITECTURALLY EXPOSED STRUCTURAL STEELWORK</w:t>
      </w:r>
      <w:r>
        <w:rPr/>
        <w:t xml:space="preserve">.</w:t>
      </w:r>
    </w:p>
    <w:p>
      <w:pPr>
        <w:pStyle w:val="Body Text"/>
      </w:pPr>
      <w:r>
        <w:rPr/>
        <w:t xml:space="preserve">Temporary members: If temporary members are required, fix so as not to weaken or deface permanent steelwork.</w:t>
      </w:r>
    </w:p>
    <w:p>
      <w:pPr>
        <w:pStyle w:val="Body Text"/>
      </w:pPr>
      <w:r>
        <w:rPr/>
        <w:t xml:space="preserve">SlimDek 210 deck: Provide temporary propping to deck, as documented.</w:t>
      </w:r>
    </w:p>
    <w:bookmarkEnd w:id="238"/>
    <w:bookmarkStart w:name="f-10156-40" w:id="240"/>
    <w:p>
      <w:pPr>
        <w:pStyle w:val="Heading4"/>
      </w:pPr>
      <w:bookmarkStart w:name="h-10156-40" w:id="241"/>
      <w:r>
        <w:rPr/>
        <w:t xml:space="preserve">Anchor bolts</w:t>
      </w:r>
      <w:bookmarkEnd w:id="241"/>
    </w:p>
    <w:p>
      <w:pPr>
        <w:pStyle w:val="Body Text"/>
      </w:pPr>
      <w:r>
        <w:rPr/>
        <w:t xml:space="preserve">General: For each group of anchor bolts, provide a template with set-out lines clearly marked for positioning the bolts when casting in.</w:t>
      </w:r>
    </w:p>
    <w:p>
      <w:pPr>
        <w:pStyle w:val="Instructions"/>
      </w:pPr>
      <w:r>
        <w:rPr/>
        <w:t xml:space="preserve">Anchor bolts are frequently fitted with a sleeve when casting in to allow minor adjustment. If applicable, show sleeve details on the drawings.</w:t>
      </w:r>
    </w:p>
    <w:bookmarkEnd w:id="240"/>
    <w:bookmarkStart w:name="f-10156-41" w:id="242"/>
    <w:p>
      <w:pPr>
        <w:pStyle w:val="Heading4"/>
      </w:pPr>
      <w:bookmarkStart w:name="h-10156-41" w:id="243"/>
      <w:r>
        <w:rPr/>
        <w:t xml:space="preserve">Beam camber</w:t>
      </w:r>
      <w:bookmarkEnd w:id="243"/>
    </w:p>
    <w:p>
      <w:pPr>
        <w:pStyle w:val="Body Text"/>
      </w:pPr>
      <w:r>
        <w:rPr/>
        <w:t xml:space="preserve">Requirement: If beam elements have a camber (natural or induced), erect them with the camber up.</w:t>
      </w:r>
    </w:p>
    <w:bookmarkEnd w:id="242"/>
    <w:bookmarkStart w:name="f-10156-42" w:id="244"/>
    <w:p>
      <w:pPr>
        <w:pStyle w:val="Heading4"/>
      </w:pPr>
      <w:bookmarkStart w:name="h-10156-42" w:id="245"/>
      <w:r>
        <w:rPr/>
        <w:t xml:space="preserve">Site work</w:t>
      </w:r>
      <w:bookmarkEnd w:id="245"/>
    </w:p>
    <w:p>
      <w:pPr>
        <w:pStyle w:val="Body Text"/>
      </w:pPr>
      <w:r>
        <w:rPr/>
        <w:t xml:space="preserve">General: Other than work shown on the shop detail documentation as site work, do not fabricate, modify or weld structural steel on-site.</w:t>
      </w:r>
    </w:p>
    <w:p>
      <w:pPr>
        <w:pStyle w:val="Instructions"/>
      </w:pPr>
      <w:r>
        <w:rPr/>
        <w:t xml:space="preserve">If site modifications are necessary, refer to AS/NZS 5131 (2016) Section 14.</w:t>
      </w:r>
    </w:p>
    <w:bookmarkEnd w:id="244"/>
    <w:bookmarkStart w:name="f-10156-43" w:id="246"/>
    <w:p>
      <w:pPr>
        <w:pStyle w:val="Heading4"/>
      </w:pPr>
      <w:bookmarkStart w:name="h-10156-43" w:id="247"/>
      <w:r>
        <w:rPr/>
        <w:t xml:space="preserve">Purlins</w:t>
      </w:r>
      <w:bookmarkEnd w:id="247"/>
    </w:p>
    <w:p>
      <w:pPr>
        <w:pStyle w:val="Body Text"/>
      </w:pPr>
      <w:r>
        <w:rPr/>
        <w:t xml:space="preserve">Trimming members: Provide to support edges of roof sheeting along hips, valleys and roof penetrations.</w:t>
      </w:r>
    </w:p>
    <w:bookmarkEnd w:id="246"/>
    <w:bookmarkStart w:name="f-10156-44" w:id="248"/>
    <w:p>
      <w:pPr>
        <w:pStyle w:val="Heading4"/>
      </w:pPr>
      <w:bookmarkStart w:name="h-10156-44" w:id="249"/>
      <w:r>
        <w:rPr/>
        <w:t xml:space="preserve">Movements</w:t>
      </w:r>
      <w:bookmarkEnd w:id="249"/>
    </w:p>
    <w:p>
      <w:pPr>
        <w:pStyle w:val="Body Text"/>
      </w:pPr>
      <w:r>
        <w:rPr/>
        <w:t xml:space="preserve">General: Allow for thermal movements during erection.</w:t>
      </w:r>
    </w:p>
    <w:bookmarkEnd w:id="248"/>
    <w:bookmarkStart w:name="f-10156-45" w:id="250"/>
    <w:p>
      <w:pPr>
        <w:pStyle w:val="Heading4"/>
      </w:pPr>
      <w:bookmarkStart w:name="h-10156-45" w:id="251"/>
      <w:r>
        <w:rPr/>
        <w:t xml:space="preserve">Grouting at supports</w:t>
      </w:r>
      <w:bookmarkEnd w:id="251"/>
    </w:p>
    <w:p>
      <w:pPr>
        <w:pStyle w:val="Instructions"/>
      </w:pPr>
      <w:r>
        <w:rPr/>
        <w:t xml:space="preserve">See AS/NZS 5131 (2016) clause 11.6.4.</w:t>
      </w:r>
    </w:p>
    <w:p>
      <w:pPr>
        <w:pStyle w:val="Body Text"/>
      </w:pPr>
      <w:r>
        <w:rPr/>
        <w:t xml:space="preserve">Preparation: Before grouting steelwork supported by concrete or masonry, set steelwork on packing or wedges.</w:t>
      </w:r>
    </w:p>
    <w:p>
      <w:pPr>
        <w:pStyle w:val="NormalIndent"/>
      </w:pPr>
      <w:r>
        <w:rPr/>
        <w:t xml:space="preserve">Permanent packing or wedges: Form with solid steel or grout of similar strength to the permanent grout.</w:t>
      </w:r>
    </w:p>
    <w:p>
      <w:pPr>
        <w:pStyle w:val="NormalIndent"/>
      </w:pPr>
      <w:r>
        <w:rPr/>
        <w:t xml:space="preserve">Temporary packing or wedges: Remove before completion of grouting.</w:t>
      </w:r>
    </w:p>
    <w:p>
      <w:pPr>
        <w:pStyle w:val="Instructions"/>
      </w:pPr>
      <w:r>
        <w:rPr/>
        <w:t xml:space="preserve">If any treatment of the steelwork, base plates, bearings or concrete surfaces are required before grouting, include requirements here.</w:t>
      </w:r>
    </w:p>
    <w:p>
      <w:pPr>
        <w:pStyle w:val="Body Text"/>
      </w:pPr>
      <w:r>
        <w:rPr/>
        <w:t xml:space="preserve">Timing: Grout at supports before constructing supported floors, walls and roofing.</w:t>
      </w:r>
    </w:p>
    <w:p>
      <w:pPr>
        <w:pStyle w:val="Body Text"/>
      </w:pPr>
      <w:r>
        <w:rPr/>
        <w:t xml:space="preserve">Temperature: Do not grout if the temperature of the base plate or the footing surface exceeds 35°C.</w:t>
      </w:r>
    </w:p>
    <w:bookmarkEnd w:id="250"/>
    <w:bookmarkStart w:name="f-10156-46" w:id="252"/>
    <w:p>
      <w:pPr>
        <w:pStyle w:val="Heading4"/>
      </w:pPr>
      <w:bookmarkStart w:name="h-10156-46" w:id="253"/>
      <w:r>
        <w:rPr/>
        <w:t xml:space="preserve">Drifting</w:t>
      </w:r>
      <w:bookmarkEnd w:id="253"/>
    </w:p>
    <w:p>
      <w:pPr>
        <w:pStyle w:val="Body Text"/>
      </w:pPr>
      <w:r>
        <w:rPr/>
        <w:t xml:space="preserve">Limitation: Use drifting only to bring members into position, without enlarging holes or distorting components.</w:t>
      </w:r>
    </w:p>
    <w:p>
      <w:pPr>
        <w:pStyle w:val="Instructions"/>
      </w:pPr>
      <w:r>
        <w:rPr/>
        <w:t xml:space="preserve">See AS/NZS 5131 (2016) clause 11.5.7.</w:t>
      </w:r>
    </w:p>
    <w:bookmarkEnd w:id="252"/>
    <w:bookmarkStart w:name="f-10156-47" w:id="254"/>
    <w:p>
      <w:pPr>
        <w:pStyle w:val="Heading3"/>
      </w:pPr>
      <w:bookmarkStart w:name="h-10156-47" w:id="255"/>
      <w:r>
        <w:rPr/>
        <w:t xml:space="preserve">REPAIRS</w:t>
      </w:r>
      <w:bookmarkEnd w:id="255"/>
    </w:p>
    <w:bookmarkEnd w:id="254"/>
    <w:bookmarkStart w:name="f-10156-48" w:id="256"/>
    <w:p>
      <w:pPr>
        <w:pStyle w:val="Heading4"/>
      </w:pPr>
      <w:bookmarkStart w:name="h-10156-48" w:id="257"/>
      <w:r>
        <w:rPr/>
        <w:t xml:space="preserve">General</w:t>
      </w:r>
      <w:bookmarkEnd w:id="257"/>
    </w:p>
    <w:p>
      <w:pPr>
        <w:pStyle w:val="Body Text"/>
      </w:pPr>
      <w:r>
        <w:rPr/>
        <w:t xml:space="preserve">Requirement: Repair finishes to restore the full integrity of any coating.</w:t>
      </w:r>
    </w:p>
    <w:bookmarkEnd w:id="256"/>
    <w:bookmarkStart w:name="f-10156-49" w:id="258"/>
    <w:p>
      <w:pPr>
        <w:pStyle w:val="Heading3"/>
      </w:pPr>
      <w:bookmarkStart w:name="h-10156-49" w:id="259"/>
      <w:r>
        <w:rPr/>
        <w:t xml:space="preserve">COMPLETION</w:t>
      </w:r>
      <w:bookmarkEnd w:id="259"/>
    </w:p>
    <w:bookmarkEnd w:id="258"/>
    <w:bookmarkStart w:name="f-10156-50" w:id="260"/>
    <w:p>
      <w:pPr>
        <w:pStyle w:val="Heading4"/>
      </w:pPr>
      <w:bookmarkStart w:name="h-10156-50" w:id="261"/>
      <w:r>
        <w:rPr/>
        <w:t xml:space="preserve">Tolerances</w:t>
      </w:r>
      <w:bookmarkEnd w:id="261"/>
    </w:p>
    <w:p>
      <w:pPr>
        <w:pStyle w:val="Body Text"/>
      </w:pPr>
      <w:r>
        <w:rPr/>
        <w:t xml:space="preserve">Conformance: After completing erection, verify conformance with AS/NZS 5131 (2016) Section 12 and Appendix F.</w:t>
      </w:r>
    </w:p>
    <w:bookmarkEnd w:id="260"/>
    <w:bookmarkStart w:name="f-10156-51" w:id="262"/>
    <w:p>
      <w:pPr>
        <w:pStyle w:val="Heading4"/>
      </w:pPr>
      <w:bookmarkStart w:name="h-10156-51" w:id="263"/>
      <w:r>
        <w:rPr/>
        <w:t xml:space="preserve">Temporary connections</w:t>
      </w:r>
      <w:bookmarkEnd w:id="263"/>
    </w:p>
    <w:p>
      <w:pPr>
        <w:pStyle w:val="Body Text"/>
      </w:pPr>
      <w:r>
        <w:rPr/>
        <w:t xml:space="preserve">General: Remove temporary cleats on completion and restore the surface.</w:t>
      </w:r>
    </w:p>
    <w:bookmarkEnd w:id="262"/>
    <w:bookmarkStart w:name="f-10156-10156.2" w:id="264"/>
    <w:p>
      <w:pPr>
        <w:pStyle w:val="Heading4"/>
      </w:pPr>
      <w:bookmarkStart w:name="h-10156-10156.2" w:id="265"/>
      <w:r>
        <w:rPr/>
        <w:t xml:space="preserve">Warranties</w:t>
      </w:r>
      <w:bookmarkEnd w:id="265"/>
    </w:p>
    <w:p>
      <w:pPr>
        <w:pStyle w:val="Body Text"/>
      </w:pPr>
      <w:r>
        <w:rPr/>
        <w:t xml:space="preserve">SlimDek 210: Provide the Fielders’ published product warranties</w:t>
      </w:r>
    </w:p>
    <w:p>
      <w:pPr>
        <w:pStyle w:val="Instructions"/>
      </w:pPr>
      <w:r>
        <w:rPr/>
        <w:t xml:space="preserve">If the warranty is in the form of separate material and installation warranties, require the signatures of both manufacturer and installer.</w:t>
      </w:r>
    </w:p>
    <w:p>
      <w:pPr>
        <w:pStyle w:val="Instructions"/>
      </w:pPr>
      <w:r>
        <w:rPr/>
        <w:t xml:space="preserve">BlueScope Steel offers a warranty for the SlimDek 210 deck of up to 10 years from the date of installation against perforation by natural degradation, when used within the building envelope (not exposed to natural environment). It is applicable to building applications located greater than 1 km from severe marine or industrial environments only.</w:t>
      </w:r>
    </w:p>
    <w:p>
      <w:pPr>
        <w:pStyle w:val="Instructions"/>
      </w:pPr>
      <w:r>
        <w:rPr/>
        <w:t xml:space="preserve">Warranty requests are evaluated on a case-by-case basis. BlueScope Steel reserves the right to determine the warranty period given. All BlueScope Steel warranties are subject to terms and conditions, which are available from Fielders or from BlueScope Steel.</w:t>
      </w:r>
    </w:p>
    <w:p>
      <w:pPr>
        <w:pStyle w:val="Instructions"/>
      </w:pPr>
      <w:r>
        <w:rPr/>
        <w:t xml:space="preserve">In conjunction with the warranty provided by BlueScope Steel, Fielders provide a 10 year Structural Performance Guarantee. Refer to KingFlor® Structural Performance Guarantee application form for further details and conditions.</w:t>
      </w:r>
    </w:p>
    <w:bookmarkEnd w:id="264"/>
    <w:bookmarkEnd w:id="158"/>
    <w:bookmarkStart w:name="f-10154" w:id="266"/>
    <w:bookmarkStart w:name="f-10154-1" w:id="267"/>
    <w:p>
      <w:pPr>
        <w:pStyle w:val="Heading2"/>
      </w:pPr>
      <w:bookmarkStart w:name="h-10154-1" w:id="268"/>
      <w:r>
        <w:rPr/>
        <w:t xml:space="preserve">SELECTIONS</w:t>
      </w:r>
      <w:bookmarkEnd w:id="268"/>
    </w:p>
    <w:bookmarkEnd w:id="267"/>
    <w:bookmarkStart w:name="f-10154-2" w:id="269"/>
    <w:bookmarkStart w:name="f-7991" w:id="270"/>
    <w:bookmarkStart w:name="f-7991-1" w:id="27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71"/>
    <w:bookmarkEnd w:id="270"/>
    <w:bookmarkEnd w:id="269"/>
    <w:bookmarkStart w:name="f-10154-10154.2" w:id="272"/>
    <w:p>
      <w:pPr>
        <w:pStyle w:val="Heading3"/>
      </w:pPr>
      <w:bookmarkStart w:name="h-10154-10154.2" w:id="273"/>
      <w:r>
        <w:rPr/>
        <w:t xml:space="preserve">FIELDERS SLIMFLOR</w:t>
      </w:r>
      <w:bookmarkEnd w:id="273"/>
    </w:p>
    <w:p>
      <w:pPr>
        <w:pStyle w:val="Instructions"/>
      </w:pPr>
      <w:r>
        <w:rPr/>
        <w:t xml:space="preserve">Refer to the </w:t>
      </w:r>
      <w:r>
        <w:rPr>
          <w:i/>
        </w:rPr>
        <w:t xml:space="preserve">Fielders Fact File F.3.5 (2018)</w:t>
      </w:r>
      <w:r>
        <w:rPr/>
        <w:t xml:space="preserve"> for more information on the typical range of ASB’s and ASB(UC)’s available.</w:t>
      </w:r>
    </w:p>
    <w:bookmarkEnd w:id="272"/>
    <w:bookmarkStart w:name="f-10154-10154.1" w:id="274"/>
    <w:p>
      <w:pPr>
        <w:pStyle w:val="Heading4"/>
      </w:pPr>
      <w:bookmarkStart w:name="h-10154-10154.1" w:id="275"/>
      <w:r>
        <w:rPr/>
        <w:t xml:space="preserve">Fielders SlimFlor schedule</w:t>
      </w:r>
      <w:bookmarkEnd w:id="27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ASB / ASB(UC)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SlimDek 210 deck</w:t>
            </w:r>
          </w:p>
        </w:tc>
        <w:tc>
          <w:tcPr>
            <w:tcW w:w="20.0%" w:type="pct"/>
          </w:tcPr>
          <w:p>
            <w:pPr>
              <w:pStyle w:val="Tabletext"/>
            </w:pPr>
            <w:r>
              <w:rPr/>
              <w:t xml:space="preserve">G500, Z350</w:t>
            </w:r>
          </w:p>
        </w:tc>
        <w:tc>
          <w:tcPr>
            <w:tcW w:w="20.0%" w:type="pct"/>
          </w:tcPr>
          <w:p>
            <w:pPr>
              <w:pStyle w:val="Tabletext"/>
            </w:pPr>
            <w:r>
              <w:rPr/>
              <w:t xml:space="preserve">G500, Z350</w:t>
            </w:r>
          </w:p>
        </w:tc>
        <w:tc>
          <w:tcPr>
            <w:tcW w:w="20.0%" w:type="pct"/>
          </w:tcPr>
          <w:p>
            <w:pPr>
              <w:pStyle w:val="Tabletext"/>
            </w:pPr>
            <w:r>
              <w:rPr/>
              <w:t xml:space="preserve">G500, Z350</w:t>
            </w:r>
          </w:p>
        </w:tc>
      </w:tr>
    </w:tbl>
    <w:p>
      <w:r>
        <w:t xml:space="preserve"> </w:t>
      </w:r>
    </w:p>
    <w:bookmarkStart w:name="f-8767" w:id="276"/>
    <w:bookmarkStart w:name="f-8767-1" w:id="277"/>
    <w:p>
      <w:pPr>
        <w:pStyle w:val="Instructions"/>
      </w:pPr>
      <w:r>
        <w:rPr/>
        <w:t xml:space="preserve">The codes in the header row of the schedule designate each application or location of the item scheduled. Edit the codes to match those in other contract documents.</w:t>
      </w:r>
    </w:p>
    <w:bookmarkEnd w:id="277"/>
    <w:bookmarkEnd w:id="276"/>
    <w:p>
      <w:pPr>
        <w:pStyle w:val="Instructions"/>
      </w:pPr>
      <w:r>
        <w:rPr/>
        <w:t xml:space="preserve">ASB / ASB(UC): Nominate the ASB or ASB(UC) required, using the standard form of ASB id. For example 322ASB(UC)1397 to denote that the ASB is 322 mm deep with a weight of 139.7 kg/m. Typically available ASB and ASB(UC) sizes are detailed in the </w:t>
      </w:r>
      <w:r>
        <w:rPr>
          <w:i/>
        </w:rPr>
        <w:t xml:space="preserve">Fielders Fact File F.3.5 (2018)</w:t>
      </w:r>
      <w:r>
        <w:rPr/>
        <w:t xml:space="preserve">.</w:t>
      </w:r>
    </w:p>
    <w:bookmarkEnd w:id="274"/>
    <w:bookmarkStart w:name="f-10154-3" w:id="278"/>
    <w:p>
      <w:pPr>
        <w:pStyle w:val="Heading3"/>
      </w:pPr>
      <w:bookmarkStart w:name="h-10154-3" w:id="279"/>
      <w:r>
        <w:rPr/>
        <w:t xml:space="preserve">SCHEDULES</w:t>
      </w:r>
      <w:bookmarkEnd w:id="279"/>
    </w:p>
    <w:bookmarkEnd w:id="278"/>
    <w:bookmarkStart w:name="f-10154-4" w:id="280"/>
    <w:p>
      <w:pPr>
        <w:pStyle w:val="Heading4"/>
      </w:pPr>
      <w:bookmarkStart w:name="h-10154-4" w:id="281"/>
      <w:r>
        <w:rPr/>
        <w:t xml:space="preserve">Non-destructive testing of bars and sections schedule</w:t>
      </w:r>
      <w:bookmarkEnd w:id="281"/>
    </w:p>
    <w:tbl>
      <w:tblPr>
        <w:tblStyle w:val="NATSPECTable"/>
        <w:tblW w:w="5000" w:type="pct"/>
        <w:tblLook w:firstRow="1" w:lastRow="0" w:firstColumn="0" w:lastColumn="0"/>
      </w:tblPr>
      <w:tr>
        <w:trPr>
          <w:tblHeader/>
        </w:trPr>
        <w:tc>
          <w:tcPr>
            <w:tcW w:w="34%" w:type="pct"/>
          </w:tcPr>
          <w:p>
            <w:pPr>
              <w:pStyle w:val="Tabletitle"/>
            </w:pPr>
            <w:r>
              <w:rPr/>
              <w:t xml:space="preserve">Item to be tested</w:t>
            </w:r>
          </w:p>
        </w:tc>
        <w:tc>
          <w:tcPr>
            <w:tcW w:w="33%" w:type="pct"/>
          </w:tcPr>
          <w:p>
            <w:pPr>
              <w:pStyle w:val="Tabletitle"/>
            </w:pPr>
            <w:r>
              <w:rPr/>
              <w:t xml:space="preserve">Test method</w:t>
            </w:r>
          </w:p>
        </w:tc>
        <w:tc>
          <w:tcPr>
            <w:tcW w:w="33%" w:type="pct"/>
          </w:tcPr>
          <w:p>
            <w:pPr>
              <w:pStyle w:val="Tabletitle"/>
            </w:pPr>
            <w:r>
              <w:rPr/>
              <w:t xml:space="preserve">Other 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See AS/NZS 3679.1 (2016) Appendix A for requirements at time of ordering steel.</w:t>
      </w:r>
    </w:p>
    <w:bookmarkEnd w:id="280"/>
    <w:bookmarkStart w:name="f-10154-5" w:id="282"/>
    <w:p>
      <w:pPr>
        <w:pStyle w:val="Heading4"/>
      </w:pPr>
      <w:bookmarkStart w:name="h-10154-5" w:id="283"/>
      <w:r>
        <w:rPr/>
        <w:t xml:space="preserve">Bolting category schedule</w:t>
      </w:r>
      <w:bookmarkEnd w:id="283"/>
    </w:p>
    <w:tbl>
      <w:tblPr>
        <w:tblStyle w:val="NATSPECTable"/>
        <w:tblW w:w="5000" w:type="pct"/>
        <w:tblLook w:firstRow="1" w:lastRow="0" w:firstColumn="0" w:lastColumn="0"/>
      </w:tblPr>
      <w:tr>
        <w:trPr>
          <w:tblHeader/>
        </w:trPr>
        <w:tc>
          <w:tcPr>
            <w:tcW w:w="34%" w:type="pct"/>
          </w:tcPr>
          <w:p>
            <w:pPr>
              <w:pStyle w:val="Tabletitle"/>
            </w:pPr>
            <w:r>
              <w:rPr/>
              <w:t xml:space="preserve">Joint location</w:t>
            </w:r>
          </w:p>
        </w:tc>
        <w:tc>
          <w:tcPr>
            <w:tcW w:w="33%" w:type="pct"/>
          </w:tcPr>
          <w:p>
            <w:pPr>
              <w:pStyle w:val="Tabletitle"/>
            </w:pPr>
            <w:r>
              <w:rPr/>
              <w:t xml:space="preserve">Bolt type/size</w:t>
            </w:r>
          </w:p>
        </w:tc>
        <w:tc>
          <w:tcPr>
            <w:tcW w:w="33%" w:type="pct"/>
          </w:tcPr>
          <w:p>
            <w:pPr>
              <w:pStyle w:val="Tabletitle"/>
            </w:pPr>
            <w:r>
              <w:rPr/>
              <w:t xml:space="preserve">Bolting category</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Bolting categories are defined in AS 4100 (2020) clause 9.2.1.</w:t>
      </w:r>
    </w:p>
    <w:bookmarkEnd w:id="282"/>
    <w:bookmarkStart w:name="f-10154-6" w:id="284"/>
    <w:p>
      <w:pPr>
        <w:pStyle w:val="Heading4"/>
      </w:pPr>
      <w:bookmarkStart w:name="h-10154-6" w:id="285"/>
      <w:r>
        <w:rPr/>
        <w:t xml:space="preserve">AESS schedule</w:t>
      </w:r>
      <w:bookmarkEnd w:id="285"/>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AESS category</w:t>
            </w:r>
          </w:p>
        </w:tc>
        <w:tc>
          <w:tcPr>
            <w:tcW w:w="20%" w:type="pct"/>
          </w:tcPr>
          <w:p>
            <w:pPr>
              <w:pStyle w:val="Tabletitle"/>
            </w:pPr>
            <w:r>
              <w:rPr/>
              <w:t xml:space="preserve">Tolerance</w:t>
            </w:r>
          </w:p>
        </w:tc>
        <w:tc>
          <w:tcPr>
            <w:tcW w:w="20%" w:type="pct"/>
          </w:tcPr>
          <w:p>
            <w:pPr>
              <w:pStyle w:val="Tabletitle"/>
            </w:pPr>
            <w:r>
              <w:rPr/>
              <w:t xml:space="preserve">Samples</w:t>
            </w:r>
          </w:p>
        </w:tc>
        <w:tc>
          <w:tcPr>
            <w:tcW w:w="20%" w:type="pct"/>
          </w:tcPr>
          <w:p>
            <w:pPr>
              <w:pStyle w:val="Tabletitle"/>
            </w:pPr>
            <w:r>
              <w:rPr/>
              <w:t xml:space="preserve">Connections</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Location: Element location code or project specific identifier.</w:t>
      </w:r>
    </w:p>
    <w:p>
      <w:pPr>
        <w:pStyle w:val="Instructions"/>
      </w:pPr>
      <w:r>
        <w:rPr/>
        <w:t xml:space="preserve">AESS category:</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w:t>
      </w:r>
    </w:p>
    <w:p>
      <w:pPr>
        <w:pStyle w:val="Instructions"/>
      </w:pPr>
      <w:r>
        <w:rPr/>
        <w:t xml:space="preserve">Tolerance: To a specific standard or more stringent requirements, i.e. half the tolerances stated in AS/NZS 5131 (2016).</w:t>
      </w:r>
    </w:p>
    <w:p>
      <w:pPr>
        <w:pStyle w:val="Instructions"/>
      </w:pPr>
      <w:r>
        <w:rPr/>
        <w:t xml:space="preserve">Samples: e.g. 3D rendering, physical sample, first off inspection.</w:t>
      </w:r>
    </w:p>
    <w:p>
      <w:pPr>
        <w:pStyle w:val="Instructions"/>
      </w:pPr>
      <w:r>
        <w:rPr/>
        <w:t xml:space="preserve">Connections: e.g. All welded, as documented.</w:t>
      </w:r>
    </w:p>
    <w:bookmarkEnd w:id="284"/>
    <w:bookmarkStart w:name="f-10154-7" w:id="286"/>
    <w:p>
      <w:pPr>
        <w:pStyle w:val="Heading4"/>
      </w:pPr>
      <w:bookmarkStart w:name="h-10154-7" w:id="287"/>
      <w:r>
        <w:rPr/>
        <w:t xml:space="preserve">Special finishes schedule</w:t>
      </w:r>
      <w:bookmarkEnd w:id="287"/>
    </w:p>
    <w:tbl>
      <w:tblPr>
        <w:tblStyle w:val="NATSPECTable"/>
        <w:tblW w:w="5000" w:type="pct"/>
        <w:tblLook w:firstRow="1" w:lastRow="0" w:firstColumn="0" w:lastColumn="0"/>
      </w:tblPr>
      <w:tr>
        <w:trPr>
          <w:tblHeader/>
        </w:trPr>
        <w:tc>
          <w:tcPr>
            <w:tcW w:w="34%" w:type="pct"/>
          </w:tcPr>
          <w:p>
            <w:pPr>
              <w:pStyle w:val="Tabletitle"/>
            </w:pPr>
            <w:r>
              <w:rPr/>
              <w:t xml:space="preserve">Steelwork location</w:t>
            </w:r>
          </w:p>
        </w:tc>
        <w:tc>
          <w:tcPr>
            <w:tcW w:w="33%" w:type="pct"/>
          </w:tcPr>
          <w:p>
            <w:pPr>
              <w:pStyle w:val="Tabletitle"/>
            </w:pPr>
            <w:r>
              <w:rPr/>
              <w:t xml:space="preserve">Shop or site application</w:t>
            </w:r>
          </w:p>
        </w:tc>
        <w:tc>
          <w:tcPr>
            <w:tcW w:w="33%" w:type="pct"/>
          </w:tcPr>
          <w:p>
            <w:pPr>
              <w:pStyle w:val="Tabletitle"/>
            </w:pPr>
            <w:r>
              <w:rPr/>
              <w:t xml:space="preserve">Defined special finish</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Define here any special finishes required, and their applicable steelwork locations. If the special finishes require the steelwork to be classified as AESS, then document the requirements in </w:t>
      </w:r>
      <w:r>
        <w:rPr>
          <w:b/>
        </w:rPr>
        <w:t xml:space="preserve">ARCHITECTURALLY EXPOSED STRUCTURAL STEELWORK</w:t>
      </w:r>
      <w:r>
        <w:rPr/>
        <w:t xml:space="preserve">.</w:t>
      </w:r>
    </w:p>
    <w:bookmarkEnd w:id="286"/>
    <w:bookmarkStart w:name="f-10154-8" w:id="288"/>
    <w:p>
      <w:pPr>
        <w:pStyle w:val="Heading4"/>
      </w:pPr>
      <w:bookmarkStart w:name="h-10154-8" w:id="289"/>
      <w:r>
        <w:rPr/>
        <w:t xml:space="preserve">Metal spray schedule</w:t>
      </w:r>
      <w:bookmarkEnd w:id="289"/>
    </w:p>
    <w:tbl>
      <w:tblPr>
        <w:tblStyle w:val="NATSPECTable"/>
        <w:tblW w:w="5000" w:type="pct"/>
        <w:tblLook w:firstRow="1" w:lastRow="0" w:firstColumn="0" w:lastColumn="0"/>
      </w:tblPr>
      <w:tr>
        <w:trPr>
          <w:tblHeader/>
        </w:trPr>
        <w:tc>
          <w:tcPr>
            <w:tcW w:w="20%" w:type="pct"/>
          </w:tcPr>
          <w:p>
            <w:pPr>
              <w:pStyle w:val="Tabletitle"/>
            </w:pPr>
            <w:r>
              <w:rPr/>
              <w:t xml:space="preserve">Steel member or surface</w:t>
            </w:r>
          </w:p>
        </w:tc>
        <w:tc>
          <w:tcPr>
            <w:tcW w:w="20%" w:type="pct"/>
          </w:tcPr>
          <w:p>
            <w:pPr>
              <w:pStyle w:val="Tabletitle"/>
            </w:pPr>
            <w:r>
              <w:rPr/>
              <w:t xml:space="preserve">Abrasive blast cleaning to AS 1627.4 (2005)</w:t>
            </w:r>
          </w:p>
        </w:tc>
        <w:tc>
          <w:tcPr>
            <w:tcW w:w="20%" w:type="pct"/>
          </w:tcPr>
          <w:p>
            <w:pPr>
              <w:pStyle w:val="Tabletitle"/>
            </w:pPr>
            <w:r>
              <w:rPr/>
              <w:t xml:space="preserve">Metal spray type</w:t>
            </w:r>
          </w:p>
        </w:tc>
        <w:tc>
          <w:tcPr>
            <w:tcW w:w="20%" w:type="pct"/>
          </w:tcPr>
          <w:p>
            <w:pPr>
              <w:pStyle w:val="Tabletitle"/>
            </w:pPr>
            <w:r>
              <w:rPr/>
              <w:t xml:space="preserve">Minimum thickness (µm)</w:t>
            </w:r>
          </w:p>
        </w:tc>
        <w:tc>
          <w:tcPr>
            <w:tcW w:w="20%" w:type="pct"/>
          </w:tcPr>
          <w:p>
            <w:pPr>
              <w:pStyle w:val="Tabletitle"/>
            </w:pPr>
            <w:r>
              <w:rPr/>
              <w:t xml:space="preserve">Seal coat</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Abrasive blast cleaning to AS 1627.4 (2005): e.g. grit blasting to Sa 2½ or Sa 3 to ISO 8501-1 (1988) as cited in AS 1627.9 (2002) with a profile height of 50 µm or 75 µm.</w:t>
      </w:r>
    </w:p>
    <w:p>
      <w:pPr>
        <w:pStyle w:val="Instructions"/>
      </w:pPr>
      <w:r>
        <w:rPr/>
        <w:t xml:space="preserve">Metal spray type: e.g. Zinc, Aluminium, Duplex, or Composite metal spray/paint systems.</w:t>
      </w:r>
    </w:p>
    <w:p>
      <w:pPr>
        <w:pStyle w:val="Instructions"/>
      </w:pPr>
      <w:r>
        <w:rPr/>
        <w:t xml:space="preserve">Minimum thickness: Nominate required thickness. e.g. Indoor applications: 125 µm. Outdoor applications: 175 µm.</w:t>
      </w:r>
    </w:p>
    <w:p>
      <w:pPr>
        <w:pStyle w:val="Instructions"/>
      </w:pPr>
      <w:r>
        <w:rPr/>
        <w:t xml:space="preserve">Seal coat: Required for enhanced performance in aggressive environments, or as a decorative finish. If a seal coat is required to metal spray finishes, state requirements. e.g. Two coats of vinyl seal to a total dry film thickness of 80 µm. Usually not required where composite systems are used.</w:t>
      </w:r>
    </w:p>
    <w:bookmarkEnd w:id="288"/>
    <w:bookmarkEnd w:id="266"/>
    <w:bookmarkEnd w:id="27"/>
    <w:bookmarkStart w:name="f-10157-bibliography" w:id="290"/>
    <w:bookmarkStart w:name="f-10155" w:id="291"/>
    <w:bookmarkStart w:name="f-10155-1" w:id="292"/>
    <w:p>
      <w:pPr>
        <w:pStyle w:val="InstructionsHeading4"/>
      </w:pPr>
      <w:bookmarkStart w:name="h-10155-1" w:id="293"/>
      <w:r>
        <w:rPr/>
        <w:t xml:space="preserve">REFERENCED DOCUMENTS</w:t>
      </w:r>
      <w:bookmarkEnd w:id="293"/>
    </w:p>
    <w:bookmarkEnd w:id="292"/>
    <w:p>
      <w:pPr>
        <w:pStyle w:val="Instructions"/>
      </w:pPr>
      <w:r>
        <w:rPr>
          <w:b/>
        </w:rPr>
        <w:t xml:space="preserve">The following documents are incorporated into this worksection by reference:</w:t>
      </w:r>
    </w:p>
    <w:bookmarkStart w:name="f-10155-10_01110_000-000" w:id="294"/>
    <w:p>
      <w:pPr>
        <w:pStyle w:val="Standard1"/>
      </w:pPr>
      <w:r>
        <w:rPr/>
        <w:t xml:space="preserve">AS 1110</w:t>
      </w:r>
      <w:r>
        <w:tab/>
      </w:r>
      <w:r>
        <w:tab/>
      </w:r>
      <w:r>
        <w:rPr/>
        <w:t xml:space="preserve">ISO metric hexagon bolts and screws - Product grades A and B</w:t>
      </w:r>
    </w:p>
    <w:bookmarkEnd w:id="294"/>
    <w:bookmarkStart w:name="f-10155-10_01110_001-000_2015" w:id="295"/>
    <w:p>
      <w:pPr>
        <w:pStyle w:val="Standard2"/>
      </w:pPr>
      <w:r>
        <w:rPr/>
        <w:t xml:space="preserve">AS 1110.1</w:t>
      </w:r>
      <w:r>
        <w:tab/>
      </w:r>
      <w:r>
        <w:rPr/>
        <w:t xml:space="preserve">2015</w:t>
      </w:r>
      <w:r>
        <w:tab/>
      </w:r>
      <w:r>
        <w:rPr/>
        <w:t xml:space="preserve">Bolts</w:t>
      </w:r>
    </w:p>
    <w:bookmarkEnd w:id="295"/>
    <w:bookmarkStart w:name="f-10155-10_01111_000-000" w:id="296"/>
    <w:p>
      <w:pPr>
        <w:pStyle w:val="Standard1"/>
      </w:pPr>
      <w:r>
        <w:rPr/>
        <w:t xml:space="preserve">AS 1111</w:t>
      </w:r>
      <w:r>
        <w:tab/>
      </w:r>
      <w:r>
        <w:tab/>
      </w:r>
      <w:r>
        <w:rPr/>
        <w:t xml:space="preserve">ISO metric hexagon bolts and screws - Product grade C</w:t>
      </w:r>
    </w:p>
    <w:bookmarkEnd w:id="296"/>
    <w:bookmarkStart w:name="f-10155-10_01111_001-000_2015" w:id="297"/>
    <w:p>
      <w:pPr>
        <w:pStyle w:val="Standard2"/>
      </w:pPr>
      <w:r>
        <w:rPr/>
        <w:t xml:space="preserve">AS 1111.1</w:t>
      </w:r>
      <w:r>
        <w:tab/>
      </w:r>
      <w:r>
        <w:rPr/>
        <w:t xml:space="preserve">2015</w:t>
      </w:r>
      <w:r>
        <w:tab/>
      </w:r>
      <w:r>
        <w:rPr/>
        <w:t xml:space="preserve">Bolts</w:t>
      </w:r>
    </w:p>
    <w:bookmarkEnd w:id="297"/>
    <w:bookmarkStart w:name="f-10155-10_01112_000-000" w:id="298"/>
    <w:p>
      <w:pPr>
        <w:pStyle w:val="Standard1"/>
      </w:pPr>
      <w:r>
        <w:rPr/>
        <w:t xml:space="preserve">AS 1112</w:t>
      </w:r>
      <w:r>
        <w:tab/>
      </w:r>
      <w:r>
        <w:tab/>
      </w:r>
      <w:r>
        <w:rPr/>
        <w:t xml:space="preserve">ISO metric hexagon nuts</w:t>
      </w:r>
    </w:p>
    <w:bookmarkEnd w:id="298"/>
    <w:bookmarkStart w:name="f-10155-10_01112_001-000_2015" w:id="299"/>
    <w:p>
      <w:pPr>
        <w:pStyle w:val="Standard2"/>
      </w:pPr>
      <w:r>
        <w:rPr/>
        <w:t xml:space="preserve">AS 1112.1</w:t>
      </w:r>
      <w:r>
        <w:tab/>
      </w:r>
      <w:r>
        <w:rPr/>
        <w:t xml:space="preserve">2015</w:t>
      </w:r>
      <w:r>
        <w:tab/>
      </w:r>
      <w:r>
        <w:rPr/>
        <w:t xml:space="preserve">Style 1 - Product grades A and B</w:t>
      </w:r>
    </w:p>
    <w:bookmarkEnd w:id="299"/>
    <w:bookmarkStart w:name="f-10155-10_01112_002-000_2015" w:id="300"/>
    <w:p>
      <w:pPr>
        <w:pStyle w:val="Standard2"/>
      </w:pPr>
      <w:r>
        <w:rPr/>
        <w:t xml:space="preserve">AS 1112.2</w:t>
      </w:r>
      <w:r>
        <w:tab/>
      </w:r>
      <w:r>
        <w:rPr/>
        <w:t xml:space="preserve">2015</w:t>
      </w:r>
      <w:r>
        <w:tab/>
      </w:r>
      <w:r>
        <w:rPr/>
        <w:t xml:space="preserve">Style 2 - Product grades A and B</w:t>
      </w:r>
    </w:p>
    <w:bookmarkEnd w:id="300"/>
    <w:bookmarkStart w:name="f-10155-10_01112_003-000_2015" w:id="301"/>
    <w:p>
      <w:pPr>
        <w:pStyle w:val="Standard2"/>
      </w:pPr>
      <w:r>
        <w:rPr/>
        <w:t xml:space="preserve">AS 1112.3</w:t>
      </w:r>
      <w:r>
        <w:tab/>
      </w:r>
      <w:r>
        <w:rPr/>
        <w:t xml:space="preserve">2015</w:t>
      </w:r>
      <w:r>
        <w:tab/>
      </w:r>
      <w:r>
        <w:rPr/>
        <w:t xml:space="preserve">Product grade C</w:t>
      </w:r>
    </w:p>
    <w:bookmarkEnd w:id="301"/>
    <w:bookmarkStart w:name="f-10155-10_01112_004-000_2015" w:id="302"/>
    <w:p>
      <w:pPr>
        <w:pStyle w:val="Standard2"/>
      </w:pPr>
      <w:r>
        <w:rPr/>
        <w:t xml:space="preserve">AS 1112.4</w:t>
      </w:r>
      <w:r>
        <w:tab/>
      </w:r>
      <w:r>
        <w:rPr/>
        <w:t xml:space="preserve">2015</w:t>
      </w:r>
      <w:r>
        <w:tab/>
      </w:r>
      <w:r>
        <w:rPr/>
        <w:t xml:space="preserve">Chamfered thin nuts - Product grades A and B</w:t>
      </w:r>
    </w:p>
    <w:bookmarkEnd w:id="302"/>
    <w:bookmarkStart w:name="f-10155-10_01163_000-000_2016" w:id="303"/>
    <w:p>
      <w:pPr>
        <w:pStyle w:val="Standard1"/>
      </w:pPr>
      <w:r>
        <w:rPr/>
        <w:t xml:space="preserve">AS/NZS 1163</w:t>
      </w:r>
      <w:r>
        <w:tab/>
      </w:r>
      <w:r>
        <w:rPr/>
        <w:t xml:space="preserve">2016</w:t>
      </w:r>
      <w:r>
        <w:tab/>
      </w:r>
      <w:r>
        <w:rPr/>
        <w:t xml:space="preserve">Cold-formed structural steel hollow sections</w:t>
      </w:r>
    </w:p>
    <w:bookmarkEnd w:id="303"/>
    <w:bookmarkStart w:name="f-10155-10_01214_000-000_2016" w:id="304"/>
    <w:p>
      <w:pPr>
        <w:pStyle w:val="Standard1"/>
      </w:pPr>
      <w:r>
        <w:rPr/>
        <w:t xml:space="preserve">AS/NZS 1214</w:t>
      </w:r>
      <w:r>
        <w:tab/>
      </w:r>
      <w:r>
        <w:rPr/>
        <w:t xml:space="preserve">2016</w:t>
      </w:r>
      <w:r>
        <w:tab/>
      </w:r>
      <w:r>
        <w:rPr/>
        <w:t xml:space="preserve">Hot-dip galvanized coatings on threaded fasteners (ISO metric coarse thread series) (ISO 10684:2004, MOD)</w:t>
      </w:r>
    </w:p>
    <w:bookmarkEnd w:id="304"/>
    <w:bookmarkStart w:name="f-10155-10_01237_000-000" w:id="305"/>
    <w:p>
      <w:pPr>
        <w:pStyle w:val="Standard1"/>
      </w:pPr>
      <w:r>
        <w:rPr/>
        <w:t xml:space="preserve">AS 1237</w:t>
      </w:r>
      <w:r>
        <w:tab/>
      </w:r>
      <w:r>
        <w:tab/>
      </w:r>
      <w:r>
        <w:rPr/>
        <w:t xml:space="preserve">Plain washers for metric bolts, screws and nuts for general purposes</w:t>
      </w:r>
    </w:p>
    <w:bookmarkEnd w:id="305"/>
    <w:bookmarkStart w:name="f-10155-10_01237_001-000_2002" w:id="306"/>
    <w:p>
      <w:pPr>
        <w:pStyle w:val="Standard2"/>
      </w:pPr>
      <w:r>
        <w:rPr/>
        <w:t xml:space="preserve">AS 1237.1</w:t>
      </w:r>
      <w:r>
        <w:tab/>
      </w:r>
      <w:r>
        <w:rPr/>
        <w:t xml:space="preserve">2002</w:t>
      </w:r>
      <w:r>
        <w:tab/>
      </w:r>
      <w:r>
        <w:rPr/>
        <w:t xml:space="preserve">General plan</w:t>
      </w:r>
    </w:p>
    <w:bookmarkEnd w:id="306"/>
    <w:bookmarkStart w:name="f-10155-10_01252_000-000" w:id="307"/>
    <w:p>
      <w:pPr>
        <w:pStyle w:val="Standard1"/>
      </w:pPr>
      <w:r>
        <w:rPr/>
        <w:t xml:space="preserve">AS/NZS 1252</w:t>
      </w:r>
      <w:r>
        <w:tab/>
      </w:r>
      <w:r>
        <w:tab/>
      </w:r>
      <w:r>
        <w:rPr/>
        <w:t xml:space="preserve">High-strength steel fastener assemblies for structural engineering - Bolts, nuts and washers</w:t>
      </w:r>
    </w:p>
    <w:bookmarkEnd w:id="307"/>
    <w:bookmarkStart w:name="f-10155-10_01252_001-000_2016" w:id="308"/>
    <w:p>
      <w:pPr>
        <w:pStyle w:val="Standard2"/>
      </w:pPr>
      <w:r>
        <w:rPr/>
        <w:t xml:space="preserve">AS/NZS 1252.1</w:t>
      </w:r>
      <w:r>
        <w:tab/>
      </w:r>
      <w:r>
        <w:rPr/>
        <w:t xml:space="preserve">2016</w:t>
      </w:r>
      <w:r>
        <w:tab/>
      </w:r>
      <w:r>
        <w:rPr/>
        <w:t xml:space="preserve">Technical requirements</w:t>
      </w:r>
    </w:p>
    <w:bookmarkEnd w:id="308"/>
    <w:bookmarkStart w:name="f-10155-10_01252_002-000_2016" w:id="309"/>
    <w:p>
      <w:pPr>
        <w:pStyle w:val="Standard2"/>
      </w:pPr>
      <w:r>
        <w:rPr/>
        <w:t xml:space="preserve">AS/NZS 1252.2</w:t>
      </w:r>
      <w:r>
        <w:tab/>
      </w:r>
      <w:r>
        <w:rPr/>
        <w:t xml:space="preserve">2016</w:t>
      </w:r>
      <w:r>
        <w:tab/>
      </w:r>
      <w:r>
        <w:rPr/>
        <w:t xml:space="preserve">Verification testing for bolt assemblies</w:t>
      </w:r>
    </w:p>
    <w:bookmarkEnd w:id="309"/>
    <w:bookmarkStart w:name="f-10155-10_01397_000-000_2021" w:id="310"/>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0"/>
    <w:bookmarkStart w:name="f-10155-10_01418_000-000" w:id="311"/>
    <w:p>
      <w:pPr>
        <w:pStyle w:val="Standard1"/>
      </w:pPr>
      <w:r>
        <w:rPr/>
        <w:t xml:space="preserve">AS 1418</w:t>
      </w:r>
      <w:r>
        <w:tab/>
      </w:r>
      <w:r>
        <w:tab/>
      </w:r>
      <w:r>
        <w:rPr/>
        <w:t xml:space="preserve">Cranes, hoists and winches</w:t>
      </w:r>
    </w:p>
    <w:bookmarkEnd w:id="311"/>
    <w:bookmarkStart w:name="f-10155-10_01418_018-000_2001" w:id="312"/>
    <w:p>
      <w:pPr>
        <w:pStyle w:val="Standard2"/>
      </w:pPr>
      <w:r>
        <w:rPr/>
        <w:t xml:space="preserve">AS 1418.18</w:t>
      </w:r>
      <w:r>
        <w:tab/>
      </w:r>
      <w:r>
        <w:rPr/>
        <w:t xml:space="preserve">2024</w:t>
      </w:r>
      <w:r>
        <w:tab/>
      </w:r>
      <w:r>
        <w:rPr/>
        <w:t xml:space="preserve">Crane runways and monorails</w:t>
      </w:r>
    </w:p>
    <w:bookmarkEnd w:id="312"/>
    <w:bookmarkStart w:name="f-10155-10_01554_000-000" w:id="313"/>
    <w:p>
      <w:pPr>
        <w:pStyle w:val="Standard1"/>
      </w:pPr>
      <w:r>
        <w:rPr/>
        <w:t xml:space="preserve">AS/NZS 1554</w:t>
      </w:r>
      <w:r>
        <w:tab/>
      </w:r>
      <w:r>
        <w:tab/>
      </w:r>
      <w:r>
        <w:rPr/>
        <w:t xml:space="preserve">Structural steel welding</w:t>
      </w:r>
    </w:p>
    <w:bookmarkEnd w:id="313"/>
    <w:bookmarkStart w:name="f-10155-10_01554_001-000_2014" w:id="314"/>
    <w:p>
      <w:pPr>
        <w:pStyle w:val="Standard2"/>
      </w:pPr>
      <w:r>
        <w:rPr/>
        <w:t xml:space="preserve">AS/NZS 1554.1</w:t>
      </w:r>
      <w:r>
        <w:tab/>
      </w:r>
      <w:r>
        <w:rPr/>
        <w:t xml:space="preserve">2014</w:t>
      </w:r>
      <w:r>
        <w:tab/>
      </w:r>
      <w:r>
        <w:rPr/>
        <w:t xml:space="preserve">Welding of steel structures</w:t>
      </w:r>
    </w:p>
    <w:bookmarkEnd w:id="314"/>
    <w:bookmarkStart w:name="f-10155-10_01594_000-000_2002" w:id="315"/>
    <w:p>
      <w:pPr>
        <w:pStyle w:val="Standard1"/>
      </w:pPr>
      <w:r>
        <w:rPr/>
        <w:t xml:space="preserve">AS/NZS 1594</w:t>
      </w:r>
      <w:r>
        <w:tab/>
      </w:r>
      <w:r>
        <w:rPr/>
        <w:t xml:space="preserve">2002</w:t>
      </w:r>
      <w:r>
        <w:tab/>
      </w:r>
      <w:r>
        <w:rPr/>
        <w:t xml:space="preserve">Hot-rolled steel flat products</w:t>
      </w:r>
    </w:p>
    <w:bookmarkEnd w:id="315"/>
    <w:bookmarkStart w:name="f-10155-10_01627_000-000" w:id="316"/>
    <w:p>
      <w:pPr>
        <w:pStyle w:val="Standard1"/>
      </w:pPr>
      <w:r>
        <w:rPr/>
        <w:t xml:space="preserve">AS 1627</w:t>
      </w:r>
      <w:r>
        <w:tab/>
      </w:r>
      <w:r>
        <w:tab/>
      </w:r>
      <w:r>
        <w:rPr/>
        <w:t xml:space="preserve">Metal finishing - Preparation and pretreatment of surfaces</w:t>
      </w:r>
    </w:p>
    <w:bookmarkEnd w:id="316"/>
    <w:bookmarkStart w:name="f-10155-10_01627_004-000_2005" w:id="317"/>
    <w:p>
      <w:pPr>
        <w:pStyle w:val="Standard2"/>
      </w:pPr>
      <w:r>
        <w:rPr/>
        <w:t xml:space="preserve">AS 1627.4</w:t>
      </w:r>
      <w:r>
        <w:tab/>
      </w:r>
      <w:r>
        <w:rPr/>
        <w:t xml:space="preserve">2005</w:t>
      </w:r>
      <w:r>
        <w:tab/>
      </w:r>
      <w:r>
        <w:rPr/>
        <w:t xml:space="preserve">Abrasive blast cleaning of steel</w:t>
      </w:r>
    </w:p>
    <w:bookmarkEnd w:id="317"/>
    <w:bookmarkStart w:name="f-10155-10_01710_000-000_2007" w:id="318"/>
    <w:p>
      <w:pPr>
        <w:pStyle w:val="Standard1"/>
      </w:pPr>
      <w:r>
        <w:rPr/>
        <w:t xml:space="preserve">AS 1710</w:t>
      </w:r>
      <w:r>
        <w:tab/>
      </w:r>
      <w:r>
        <w:rPr/>
        <w:t xml:space="preserve">2007</w:t>
      </w:r>
      <w:r>
        <w:tab/>
      </w:r>
      <w:r>
        <w:rPr/>
        <w:t xml:space="preserve">Non-destructive testing - Ultrasonic testing of carbon and low alloy steel plate and universal sections- Test methods and quality classification</w:t>
      </w:r>
    </w:p>
    <w:bookmarkEnd w:id="318"/>
    <w:bookmarkStart w:name="f-10155-10_02327_000-000_2017" w:id="319"/>
    <w:p>
      <w:pPr>
        <w:pStyle w:val="Standard1"/>
      </w:pPr>
      <w:r>
        <w:rPr/>
        <w:t xml:space="preserve">AS/NZS 2327</w:t>
      </w:r>
      <w:r>
        <w:tab/>
      </w:r>
      <w:r>
        <w:rPr/>
        <w:t xml:space="preserve">2017</w:t>
      </w:r>
      <w:r>
        <w:tab/>
      </w:r>
      <w:r>
        <w:rPr/>
        <w:t xml:space="preserve">Composite structures - Composite steel-concrete construction in buildings</w:t>
      </w:r>
    </w:p>
    <w:bookmarkEnd w:id="319"/>
    <w:bookmarkStart w:name="f-10155-10_03678_000-000_2016" w:id="320"/>
    <w:p>
      <w:pPr>
        <w:pStyle w:val="Standard1"/>
      </w:pPr>
      <w:r>
        <w:rPr/>
        <w:t xml:space="preserve">AS/NZS 3678</w:t>
      </w:r>
      <w:r>
        <w:tab/>
      </w:r>
      <w:r>
        <w:rPr/>
        <w:t xml:space="preserve">2016</w:t>
      </w:r>
      <w:r>
        <w:tab/>
      </w:r>
      <w:r>
        <w:rPr/>
        <w:t xml:space="preserve">Structural steel - Hot-rolled plates, floorplates and slabs</w:t>
      </w:r>
    </w:p>
    <w:bookmarkEnd w:id="320"/>
    <w:bookmarkStart w:name="f-10155-10_03679_000-000" w:id="321"/>
    <w:p>
      <w:pPr>
        <w:pStyle w:val="Standard1"/>
      </w:pPr>
      <w:r>
        <w:rPr/>
        <w:t xml:space="preserve">AS/NZS 3679</w:t>
      </w:r>
      <w:r>
        <w:tab/>
      </w:r>
      <w:r>
        <w:tab/>
      </w:r>
      <w:r>
        <w:rPr/>
        <w:t xml:space="preserve">Structural steel</w:t>
      </w:r>
    </w:p>
    <w:bookmarkEnd w:id="321"/>
    <w:bookmarkStart w:name="f-10155-10_03679_001-000_2016" w:id="322"/>
    <w:p>
      <w:pPr>
        <w:pStyle w:val="Standard2"/>
      </w:pPr>
      <w:r>
        <w:rPr/>
        <w:t xml:space="preserve">AS/NZS 3679.1</w:t>
      </w:r>
      <w:r>
        <w:tab/>
      </w:r>
      <w:r>
        <w:rPr/>
        <w:t xml:space="preserve">2016</w:t>
      </w:r>
      <w:r>
        <w:tab/>
      </w:r>
      <w:r>
        <w:rPr/>
        <w:t xml:space="preserve">Hot-rolled bars and sections</w:t>
      </w:r>
    </w:p>
    <w:bookmarkEnd w:id="322"/>
    <w:bookmarkStart w:name="f-10155-10_03679_002-000_2016" w:id="323"/>
    <w:p>
      <w:pPr>
        <w:pStyle w:val="Standard2"/>
      </w:pPr>
      <w:r>
        <w:rPr/>
        <w:t xml:space="preserve">AS/NZS 3679.2</w:t>
      </w:r>
      <w:r>
        <w:tab/>
      </w:r>
      <w:r>
        <w:rPr/>
        <w:t xml:space="preserve">2016</w:t>
      </w:r>
      <w:r>
        <w:tab/>
      </w:r>
      <w:r>
        <w:rPr/>
        <w:t xml:space="preserve">Welded I sections</w:t>
      </w:r>
    </w:p>
    <w:bookmarkEnd w:id="323"/>
    <w:bookmarkStart w:name="f-10155-10_04100_000-000_2020" w:id="324"/>
    <w:p>
      <w:pPr>
        <w:pStyle w:val="Standard1"/>
      </w:pPr>
      <w:r>
        <w:rPr/>
        <w:t xml:space="preserve">AS 4100</w:t>
      </w:r>
      <w:r>
        <w:tab/>
      </w:r>
      <w:r>
        <w:rPr/>
        <w:t xml:space="preserve">2020</w:t>
      </w:r>
      <w:r>
        <w:tab/>
      </w:r>
      <w:r>
        <w:rPr/>
        <w:t xml:space="preserve">Steel structures</w:t>
      </w:r>
    </w:p>
    <w:bookmarkEnd w:id="324"/>
    <w:bookmarkStart w:name="f-10155-10_04600_000-000_2018" w:id="325"/>
    <w:p>
      <w:pPr>
        <w:pStyle w:val="Standard1"/>
      </w:pPr>
      <w:r>
        <w:rPr/>
        <w:t xml:space="preserve">AS/NZS 4600</w:t>
      </w:r>
      <w:r>
        <w:tab/>
      </w:r>
      <w:r>
        <w:rPr/>
        <w:t xml:space="preserve">2018</w:t>
      </w:r>
      <w:r>
        <w:tab/>
      </w:r>
      <w:r>
        <w:rPr/>
        <w:t xml:space="preserve">Cold-formed steel structures</w:t>
      </w:r>
    </w:p>
    <w:bookmarkEnd w:id="325"/>
    <w:bookmarkStart w:name="f-10155-10_05131_000-000_2016" w:id="326"/>
    <w:p>
      <w:pPr>
        <w:pStyle w:val="Standard1"/>
      </w:pPr>
      <w:r>
        <w:rPr/>
        <w:t xml:space="preserve">AS/NZS 5131</w:t>
      </w:r>
      <w:r>
        <w:tab/>
      </w:r>
      <w:r>
        <w:rPr/>
        <w:t xml:space="preserve">2016</w:t>
      </w:r>
      <w:r>
        <w:tab/>
      </w:r>
      <w:r>
        <w:rPr/>
        <w:t xml:space="preserve">Structural steelwork - Fabrication and erection</w:t>
      </w:r>
    </w:p>
    <w:bookmarkEnd w:id="326"/>
    <w:bookmarkStart w:name="f-10155-10_05216_000-000_2021" w:id="327"/>
    <w:p>
      <w:pPr>
        <w:pStyle w:val="Standard1"/>
      </w:pPr>
      <w:r>
        <w:rPr/>
        <w:t xml:space="preserve">AS 5216</w:t>
      </w:r>
      <w:r>
        <w:tab/>
      </w:r>
      <w:r>
        <w:rPr/>
        <w:t xml:space="preserve">2021</w:t>
      </w:r>
      <w:r>
        <w:tab/>
      </w:r>
      <w:r>
        <w:rPr/>
        <w:t xml:space="preserve">Design of post-installed and cast-in fastenings in concrete</w:t>
      </w:r>
    </w:p>
    <w:bookmarkEnd w:id="327"/>
    <w:bookmarkStart w:name="f-10155-15_00102_000-000_2016" w:id="328"/>
    <w:p>
      <w:pPr>
        <w:pStyle w:val="Standard1"/>
      </w:pPr>
      <w:r>
        <w:rPr/>
        <w:t xml:space="preserve">SA TS 102</w:t>
      </w:r>
      <w:r>
        <w:tab/>
      </w:r>
      <w:r>
        <w:rPr/>
        <w:t xml:space="preserve">2016</w:t>
      </w:r>
      <w:r>
        <w:tab/>
      </w:r>
      <w:r>
        <w:rPr/>
        <w:t xml:space="preserve">Structural steel - Limits on elements added</w:t>
      </w:r>
    </w:p>
    <w:bookmarkEnd w:id="328"/>
    <w:bookmarkStart w:name="f-10155-25_FIELDERS_Fact_File_F35_00000_2018" w:id="329"/>
    <w:p>
      <w:pPr>
        <w:pStyle w:val="Standard1"/>
      </w:pPr>
      <w:r>
        <w:rPr/>
        <w:t xml:space="preserve">FIELDERS Fact File F.3.5</w:t>
      </w:r>
      <w:r>
        <w:tab/>
      </w:r>
      <w:r>
        <w:rPr/>
        <w:t xml:space="preserve">2018</w:t>
      </w:r>
      <w:r>
        <w:tab/>
      </w:r>
      <w:r>
        <w:rPr/>
        <w:t xml:space="preserve">Asymmetric beams for SlimFlor construction</w:t>
      </w:r>
    </w:p>
    <w:bookmarkEnd w:id="329"/>
    <w:bookmarkStart w:name="f-10155-25_FIELDERS_KingFlor_Manual_00000_2020" w:id="330"/>
    <w:p>
      <w:pPr>
        <w:pStyle w:val="Standard1"/>
      </w:pPr>
      <w:r>
        <w:rPr/>
        <w:t xml:space="preserve">FIELDERS KingFlor Manual</w:t>
      </w:r>
      <w:r>
        <w:tab/>
      </w:r>
      <w:r>
        <w:rPr/>
        <w:t xml:space="preserve">2020</w:t>
      </w:r>
      <w:r>
        <w:tab/>
      </w:r>
      <w:r>
        <w:rPr/>
        <w:t xml:space="preserve">Specifying Fielders</w:t>
      </w:r>
    </w:p>
    <w:bookmarkEnd w:id="330"/>
    <w:bookmarkStart w:name="f-10155-60_ISO_02063_000000" w:id="331"/>
    <w:p>
      <w:pPr>
        <w:pStyle w:val="Standard1"/>
      </w:pPr>
      <w:r>
        <w:rPr/>
        <w:t xml:space="preserve">ISO 2063</w:t>
      </w:r>
      <w:r>
        <w:tab/>
      </w:r>
      <w:r>
        <w:tab/>
      </w:r>
      <w:r>
        <w:rPr/>
        <w:t xml:space="preserve">Thermal spraying - Zinc, aluminium and their alloys</w:t>
      </w:r>
    </w:p>
    <w:bookmarkEnd w:id="331"/>
    <w:bookmarkStart w:name="f-10155-60_ISO_02063_002000_2017" w:id="332"/>
    <w:p>
      <w:pPr>
        <w:pStyle w:val="Standard2"/>
      </w:pPr>
      <w:r>
        <w:rPr/>
        <w:t xml:space="preserve">ISO 2063-2</w:t>
      </w:r>
      <w:r>
        <w:tab/>
      </w:r>
      <w:r>
        <w:rPr/>
        <w:t xml:space="preserve">2017</w:t>
      </w:r>
      <w:r>
        <w:tab/>
      </w:r>
      <w:r>
        <w:rPr/>
        <w:t xml:space="preserve">Execution of corrosion protection systems</w:t>
      </w:r>
    </w:p>
    <w:bookmarkEnd w:id="332"/>
    <w:p>
      <w:pPr>
        <w:pStyle w:val="Instructions"/>
      </w:pPr>
      <w:r>
        <w:rPr>
          <w:b/>
        </w:rPr>
        <w:t xml:space="preserve">The following documents are mentioned only in the </w:t>
      </w:r>
      <w:r>
        <w:rPr>
          <w:b/>
          <w:i/>
        </w:rPr>
        <w:t xml:space="preserve">Guidance</w:t>
      </w:r>
      <w:r>
        <w:rPr>
          <w:b/>
        </w:rPr>
        <w:t xml:space="preserve"> text:</w:t>
      </w:r>
    </w:p>
    <w:bookmarkStart w:name="f-10155-=10_01554_000-000" w:id="333"/>
    <w:p>
      <w:pPr>
        <w:pStyle w:val="Standard1"/>
      </w:pPr>
      <w:r>
        <w:rPr/>
        <w:t xml:space="preserve">AS/NZS 1554</w:t>
      </w:r>
      <w:r>
        <w:tab/>
      </w:r>
      <w:r>
        <w:tab/>
      </w:r>
      <w:r>
        <w:rPr/>
        <w:t xml:space="preserve">Structural steel welding</w:t>
      </w:r>
    </w:p>
    <w:bookmarkEnd w:id="333"/>
    <w:bookmarkStart w:name="f-10155-10_01554_002-000_2021" w:id="334"/>
    <w:p>
      <w:pPr>
        <w:pStyle w:val="Standard2"/>
      </w:pPr>
      <w:r>
        <w:rPr/>
        <w:t xml:space="preserve">AS 1554.2</w:t>
      </w:r>
      <w:r>
        <w:tab/>
      </w:r>
      <w:r>
        <w:rPr/>
        <w:t xml:space="preserve">2021</w:t>
      </w:r>
      <w:r>
        <w:tab/>
      </w:r>
      <w:r>
        <w:rPr/>
        <w:t xml:space="preserve">Stud welding (steel studs to steel)</w:t>
      </w:r>
    </w:p>
    <w:bookmarkEnd w:id="334"/>
    <w:bookmarkStart w:name="f-10155-10_01554_005-000_2014" w:id="335"/>
    <w:p>
      <w:pPr>
        <w:pStyle w:val="Standard2"/>
      </w:pPr>
      <w:r>
        <w:rPr/>
        <w:t xml:space="preserve">AS/NZS 1554.5</w:t>
      </w:r>
      <w:r>
        <w:tab/>
      </w:r>
      <w:r>
        <w:rPr/>
        <w:t xml:space="preserve">2014</w:t>
      </w:r>
      <w:r>
        <w:tab/>
      </w:r>
      <w:r>
        <w:rPr/>
        <w:t xml:space="preserve">Welding of steel structures subject to high levels of fatigue loading</w:t>
      </w:r>
    </w:p>
    <w:bookmarkEnd w:id="335"/>
    <w:bookmarkStart w:name="f-10155-=10_01627_000-000" w:id="336"/>
    <w:p>
      <w:pPr>
        <w:pStyle w:val="Standard1"/>
      </w:pPr>
      <w:r>
        <w:rPr/>
        <w:t xml:space="preserve">AS 1627</w:t>
      </w:r>
      <w:r>
        <w:tab/>
      </w:r>
      <w:r>
        <w:tab/>
      </w:r>
      <w:r>
        <w:rPr/>
        <w:t xml:space="preserve">Metal finishing - Preparation and pretreatment of surfaces</w:t>
      </w:r>
    </w:p>
    <w:bookmarkEnd w:id="336"/>
    <w:bookmarkStart w:name="f-10155-10_01627_009-000_2002" w:id="337"/>
    <w:p>
      <w:pPr>
        <w:pStyle w:val="Standard2"/>
      </w:pPr>
      <w:r>
        <w:rPr/>
        <w:t xml:space="preserve">AS 1627.9</w:t>
      </w:r>
      <w:r>
        <w:tab/>
      </w:r>
      <w:r>
        <w:rPr/>
        <w:t xml:space="preserve">2002</w:t>
      </w:r>
      <w:r>
        <w:tab/>
      </w:r>
      <w:r>
        <w:rPr/>
        <w:t xml:space="preserve">Pictorial surface preparation standards for painting steel surfaces</w:t>
      </w:r>
    </w:p>
    <w:bookmarkEnd w:id="337"/>
    <w:bookmarkStart w:name="f-10155-10_02312_000-000" w:id="338"/>
    <w:p>
      <w:pPr>
        <w:pStyle w:val="Standard1"/>
      </w:pPr>
      <w:r>
        <w:rPr/>
        <w:t xml:space="preserve">AS/NZS 2312</w:t>
      </w:r>
      <w:r>
        <w:tab/>
      </w:r>
      <w:r>
        <w:tab/>
      </w:r>
      <w:r>
        <w:rPr/>
        <w:t xml:space="preserve">Guide to the protection of structural steel against atmospheric corrosion by the use of protective coatings</w:t>
      </w:r>
    </w:p>
    <w:bookmarkEnd w:id="338"/>
    <w:bookmarkStart w:name="f-10155-10_02312_001-000_2014" w:id="339"/>
    <w:p>
      <w:pPr>
        <w:pStyle w:val="Standard2"/>
      </w:pPr>
      <w:r>
        <w:rPr/>
        <w:t xml:space="preserve">AS 2312.1</w:t>
      </w:r>
      <w:r>
        <w:tab/>
      </w:r>
      <w:r>
        <w:rPr/>
        <w:t xml:space="preserve">2014</w:t>
      </w:r>
      <w:r>
        <w:tab/>
      </w:r>
      <w:r>
        <w:rPr/>
        <w:t xml:space="preserve">Paint coatings</w:t>
      </w:r>
    </w:p>
    <w:bookmarkEnd w:id="339"/>
    <w:bookmarkStart w:name="f-10155-10_02312_002-000_2014" w:id="340"/>
    <w:p>
      <w:pPr>
        <w:pStyle w:val="Standard2"/>
      </w:pPr>
      <w:r>
        <w:rPr/>
        <w:t xml:space="preserve">AS/NZS 2312.2</w:t>
      </w:r>
      <w:r>
        <w:tab/>
      </w:r>
      <w:r>
        <w:rPr/>
        <w:t xml:space="preserve">2014</w:t>
      </w:r>
      <w:r>
        <w:tab/>
      </w:r>
      <w:r>
        <w:rPr/>
        <w:t xml:space="preserve">Hot dip galvanizing</w:t>
      </w:r>
    </w:p>
    <w:bookmarkEnd w:id="340"/>
    <w:bookmarkStart w:name="f-10155-10_03597_000-000_2008" w:id="341"/>
    <w:p>
      <w:pPr>
        <w:pStyle w:val="Standard1"/>
      </w:pPr>
      <w:r>
        <w:rPr/>
        <w:t xml:space="preserve">AS 3597</w:t>
      </w:r>
      <w:r>
        <w:tab/>
      </w:r>
      <w:r>
        <w:rPr/>
        <w:t xml:space="preserve">2008</w:t>
      </w:r>
      <w:r>
        <w:tab/>
      </w:r>
      <w:r>
        <w:rPr/>
        <w:t xml:space="preserve">Structural and pressure vessel steel - Quenched and tempered plate</w:t>
      </w:r>
    </w:p>
    <w:bookmarkEnd w:id="341"/>
    <w:bookmarkStart w:name="f-10155-10_05100_000-000" w:id="342"/>
    <w:p>
      <w:pPr>
        <w:pStyle w:val="Standard1"/>
      </w:pPr>
      <w:r>
        <w:rPr/>
        <w:t xml:space="preserve">AS 5100</w:t>
      </w:r>
      <w:r>
        <w:tab/>
      </w:r>
      <w:r>
        <w:tab/>
      </w:r>
      <w:r>
        <w:rPr/>
        <w:t xml:space="preserve">Bridge design</w:t>
      </w:r>
    </w:p>
    <w:bookmarkEnd w:id="342"/>
    <w:bookmarkStart w:name="f-10155-10_05100_006-000_2017" w:id="343"/>
    <w:p>
      <w:pPr>
        <w:pStyle w:val="Standard2"/>
      </w:pPr>
      <w:r>
        <w:rPr/>
        <w:t xml:space="preserve">AS/NZS 5100.6</w:t>
      </w:r>
      <w:r>
        <w:tab/>
      </w:r>
      <w:r>
        <w:rPr/>
        <w:t xml:space="preserve">2017</w:t>
      </w:r>
      <w:r>
        <w:tab/>
      </w:r>
      <w:r>
        <w:rPr/>
        <w:t xml:space="preserve">Steel and composite construction</w:t>
      </w:r>
    </w:p>
    <w:bookmarkEnd w:id="343"/>
    <w:bookmarkStart w:name="f-10155-10_08501_000-000" w:id="344"/>
    <w:p>
      <w:pPr>
        <w:pStyle w:val="Standard1"/>
      </w:pPr>
      <w:r>
        <w:rPr/>
        <w:t xml:space="preserve">AS 8501</w:t>
      </w:r>
      <w:r>
        <w:tab/>
      </w:r>
      <w:r>
        <w:tab/>
      </w:r>
      <w:r>
        <w:rPr/>
        <w:t xml:space="preserve">Preparation of steel substrates before application of paints and related products - Visual assessment of surface cleanliness</w:t>
      </w:r>
    </w:p>
    <w:bookmarkEnd w:id="344"/>
    <w:bookmarkStart w:name="f-10155-10_08501_003-000_2022" w:id="345"/>
    <w:p>
      <w:pPr>
        <w:pStyle w:val="Standard2"/>
      </w:pPr>
      <w:r>
        <w:rPr/>
        <w:t xml:space="preserve">AS 8501.3</w:t>
      </w:r>
      <w:r>
        <w:tab/>
      </w:r>
      <w:r>
        <w:rPr/>
        <w:t xml:space="preserve">2022</w:t>
      </w:r>
      <w:r>
        <w:tab/>
      </w:r>
      <w:r>
        <w:rPr/>
        <w:t xml:space="preserve">Treatment grades of welds, edges and other areas with surface imperfections (ISO 8501-3:2006, MOD)</w:t>
      </w:r>
    </w:p>
    <w:bookmarkEnd w:id="345"/>
    <w:bookmarkStart w:name="f-10155-25_ASI_AESS_E_00000_2012" w:id="346"/>
    <w:p>
      <w:pPr>
        <w:pStyle w:val="Standard1"/>
      </w:pPr>
      <w:r>
        <w:rPr/>
        <w:t xml:space="preserve">ASI/SCNZ AESS E</w:t>
      </w:r>
      <w:r>
        <w:tab/>
      </w:r>
      <w:r>
        <w:rPr/>
        <w:t xml:space="preserve">2012</w:t>
      </w:r>
      <w:r>
        <w:tab/>
      </w:r>
      <w:r>
        <w:rPr/>
        <w:t xml:space="preserve">Architecturally exposed structural steelwork (AESS) - Sample specification (for engineers)</w:t>
      </w:r>
    </w:p>
    <w:bookmarkEnd w:id="346"/>
    <w:bookmarkStart w:name="f-10155-25_ASI_AESS_F_00000_2012" w:id="347"/>
    <w:p>
      <w:pPr>
        <w:pStyle w:val="Standard1"/>
      </w:pPr>
      <w:r>
        <w:rPr/>
        <w:t xml:space="preserve">ASI AESS F</w:t>
      </w:r>
      <w:r>
        <w:tab/>
      </w:r>
      <w:r>
        <w:rPr/>
        <w:t xml:space="preserve">2012</w:t>
      </w:r>
      <w:r>
        <w:tab/>
      </w:r>
      <w:r>
        <w:rPr/>
        <w:t xml:space="preserve">Architecturally exposed structural steelwork (AESS) - Code of Practice (for fabricators)</w:t>
      </w:r>
    </w:p>
    <w:bookmarkEnd w:id="347"/>
    <w:bookmarkStart w:name="f-10155-25_ASI_Corrosion_00000_2015" w:id="348"/>
    <w:p>
      <w:pPr>
        <w:pStyle w:val="Standard1"/>
      </w:pPr>
      <w:r>
        <w:rPr/>
        <w:t xml:space="preserve">ASI Corrosion</w:t>
      </w:r>
      <w:r>
        <w:tab/>
      </w:r>
      <w:r>
        <w:rPr/>
        <w:t xml:space="preserve">2015</w:t>
      </w:r>
      <w:r>
        <w:tab/>
      </w:r>
      <w:r>
        <w:rPr/>
        <w:t xml:space="preserve">Australian steelwork corrosion and coatings guide</w:t>
      </w:r>
    </w:p>
    <w:bookmarkEnd w:id="348"/>
    <w:bookmarkStart w:name="f-10155-25_ASI_Journal_00000_2015" w:id="349"/>
    <w:p>
      <w:pPr>
        <w:pStyle w:val="Standard1"/>
      </w:pPr>
      <w:r>
        <w:rPr/>
        <w:t xml:space="preserve">ASI Journal</w:t>
      </w:r>
      <w:r>
        <w:tab/>
      </w:r>
      <w:r>
        <w:rPr/>
        <w:t xml:space="preserve">2015</w:t>
      </w:r>
      <w:r>
        <w:tab/>
      </w:r>
      <w:r>
        <w:rPr/>
        <w:t xml:space="preserve">Steel construction - Volume 47 Number 2: Design and detailing for corrosion protection of steel structures</w:t>
      </w:r>
    </w:p>
    <w:bookmarkEnd w:id="349"/>
    <w:bookmarkStart w:name="f-10155-25_ASI_NSSS_00000_2020" w:id="350"/>
    <w:p>
      <w:pPr>
        <w:pStyle w:val="Standard1"/>
      </w:pPr>
      <w:r>
        <w:rPr/>
        <w:t xml:space="preserve">ASI NSSS</w:t>
      </w:r>
      <w:r>
        <w:tab/>
      </w:r>
      <w:r>
        <w:rPr/>
        <w:t xml:space="preserve">2023</w:t>
      </w:r>
      <w:r>
        <w:tab/>
      </w:r>
      <w:r>
        <w:rPr/>
        <w:t xml:space="preserve">National structural steelwork specification</w:t>
      </w:r>
    </w:p>
    <w:bookmarkEnd w:id="350"/>
    <w:bookmarkStart w:name="f-10155-25_ASI_Practical_guide_00000_2016" w:id="351"/>
    <w:p>
      <w:pPr>
        <w:pStyle w:val="Standard1"/>
      </w:pPr>
      <w:r>
        <w:rPr/>
        <w:t xml:space="preserve">ASI Practical guide</w:t>
      </w:r>
      <w:r>
        <w:tab/>
      </w:r>
      <w:r>
        <w:rPr/>
        <w:t xml:space="preserve">2016</w:t>
      </w:r>
      <w:r>
        <w:tab/>
      </w:r>
      <w:r>
        <w:rPr/>
        <w:t xml:space="preserve">Practical guide to planning the safe erection of steel structures</w:t>
      </w:r>
    </w:p>
    <w:bookmarkEnd w:id="351"/>
    <w:bookmarkStart w:name="f-10155-25_ASI_SDN_00000_2020" w:id="352"/>
    <w:p>
      <w:pPr>
        <w:pStyle w:val="Standard1"/>
      </w:pPr>
      <w:r>
        <w:rPr/>
        <w:t xml:space="preserve">ASI SDN</w:t>
      </w:r>
      <w:r>
        <w:tab/>
      </w:r>
      <w:r>
        <w:rPr/>
        <w:t xml:space="preserve">2020</w:t>
      </w:r>
      <w:r>
        <w:tab/>
      </w:r>
      <w:r>
        <w:rPr/>
        <w:t xml:space="preserve">Standard drawing notes</w:t>
      </w:r>
    </w:p>
    <w:bookmarkEnd w:id="352"/>
    <w:bookmarkStart w:name="f-10155-25_ASI_TN001_00000_2019" w:id="353"/>
    <w:p>
      <w:pPr>
        <w:pStyle w:val="Standard1"/>
      </w:pPr>
      <w:r>
        <w:rPr/>
        <w:t xml:space="preserve">ASI TN001</w:t>
      </w:r>
      <w:r>
        <w:tab/>
      </w:r>
      <w:r>
        <w:rPr/>
        <w:t xml:space="preserve">2019</w:t>
      </w:r>
      <w:r>
        <w:tab/>
      </w:r>
      <w:r>
        <w:rPr/>
        <w:t xml:space="preserve">High strength structural bolt assemblies to AS/NZS 1252:2016</w:t>
      </w:r>
    </w:p>
    <w:bookmarkEnd w:id="353"/>
    <w:bookmarkStart w:name="f-10155-25_ASI_TN005_00000_2020" w:id="354"/>
    <w:p>
      <w:pPr>
        <w:pStyle w:val="Standard1"/>
      </w:pPr>
      <w:r>
        <w:rPr/>
        <w:t xml:space="preserve">ASI TN005</w:t>
      </w:r>
      <w:r>
        <w:tab/>
      </w:r>
      <w:r>
        <w:rPr/>
        <w:t xml:space="preserve">2020</w:t>
      </w:r>
      <w:r>
        <w:tab/>
      </w:r>
      <w:r>
        <w:rPr/>
        <w:t xml:space="preserve">Guidelines for designing to AS 4100 when imported materials are involved</w:t>
      </w:r>
    </w:p>
    <w:bookmarkEnd w:id="354"/>
    <w:bookmarkStart w:name="f-10155-25_ASI_TN007_00000_2020" w:id="355"/>
    <w:p>
      <w:pPr>
        <w:pStyle w:val="Standard1"/>
      </w:pPr>
      <w:r>
        <w:rPr/>
        <w:t xml:space="preserve">ASI TN007</w:t>
      </w:r>
      <w:r>
        <w:tab/>
      </w:r>
      <w:r>
        <w:rPr/>
        <w:t xml:space="preserve">2020</w:t>
      </w:r>
      <w:r>
        <w:tab/>
      </w:r>
      <w:r>
        <w:rPr/>
        <w:t xml:space="preserve">Compliance issues and steel structures</w:t>
      </w:r>
    </w:p>
    <w:bookmarkEnd w:id="355"/>
    <w:bookmarkStart w:name="f-10155-25_ASI_TN008_00000_2012" w:id="356"/>
    <w:p>
      <w:pPr>
        <w:pStyle w:val="Standard1"/>
      </w:pPr>
      <w:r>
        <w:rPr/>
        <w:t xml:space="preserve">ASI TN008</w:t>
      </w:r>
      <w:r>
        <w:tab/>
      </w:r>
      <w:r>
        <w:rPr/>
        <w:t xml:space="preserve">2012</w:t>
      </w:r>
      <w:r>
        <w:tab/>
      </w:r>
      <w:r>
        <w:rPr/>
        <w:t xml:space="preserve">Welding consumables and design of welds in AS 4100-1998 with amendment 1, 2012.</w:t>
      </w:r>
    </w:p>
    <w:bookmarkEnd w:id="356"/>
    <w:bookmarkStart w:name="f-10155-25_ASI_TN009_00000_2020" w:id="357"/>
    <w:p>
      <w:pPr>
        <w:pStyle w:val="Standard1"/>
      </w:pPr>
      <w:r>
        <w:rPr/>
        <w:t xml:space="preserve">ASI TN009</w:t>
      </w:r>
      <w:r>
        <w:tab/>
      </w:r>
      <w:r>
        <w:rPr/>
        <w:t xml:space="preserve">2020</w:t>
      </w:r>
      <w:r>
        <w:tab/>
      </w:r>
      <w:r>
        <w:rPr/>
        <w:t xml:space="preserve">Documentation of structural steel</w:t>
      </w:r>
    </w:p>
    <w:bookmarkEnd w:id="357"/>
    <w:bookmarkStart w:name="f-10155-25_ASI_TN011_00000_2020" w:id="358"/>
    <w:p>
      <w:pPr>
        <w:pStyle w:val="Standard1"/>
      </w:pPr>
      <w:r>
        <w:rPr/>
        <w:t xml:space="preserve">ASI TN011</w:t>
      </w:r>
      <w:r>
        <w:tab/>
      </w:r>
      <w:r>
        <w:rPr/>
        <w:t xml:space="preserve">2020</w:t>
      </w:r>
      <w:r>
        <w:tab/>
      </w:r>
      <w:r>
        <w:rPr/>
        <w:t xml:space="preserve">AS/NZS 5131 - Structural steelwork fabrication and erection - Implementation guide for engineers, specifiers and procurers</w:t>
      </w:r>
    </w:p>
    <w:bookmarkEnd w:id="358"/>
    <w:bookmarkStart w:name="f-10155-25_ASI_TN014_00000_2020" w:id="359"/>
    <w:p>
      <w:pPr>
        <w:pStyle w:val="Standard1"/>
      </w:pPr>
      <w:r>
        <w:rPr/>
        <w:t xml:space="preserve">ASI TN014</w:t>
      </w:r>
      <w:r>
        <w:tab/>
      </w:r>
      <w:r>
        <w:rPr/>
        <w:t xml:space="preserve">2020</w:t>
      </w:r>
      <w:r>
        <w:tab/>
      </w:r>
      <w:r>
        <w:rPr/>
        <w:t xml:space="preserve">Structural steelwork certification in Australia</w:t>
      </w:r>
    </w:p>
    <w:bookmarkEnd w:id="359"/>
    <w:bookmarkStart w:name="f-10155-25_ASI_TN015_00000_2021" w:id="360"/>
    <w:p>
      <w:pPr>
        <w:pStyle w:val="Standard1"/>
      </w:pPr>
      <w:r>
        <w:rPr/>
        <w:t xml:space="preserve">ASI TN015</w:t>
      </w:r>
      <w:r>
        <w:tab/>
      </w:r>
      <w:r>
        <w:rPr/>
        <w:t xml:space="preserve">2021</w:t>
      </w:r>
      <w:r>
        <w:tab/>
      </w:r>
      <w:r>
        <w:rPr/>
        <w:t xml:space="preserve">Ascertaining compliance of structural steel</w:t>
      </w:r>
    </w:p>
    <w:bookmarkEnd w:id="360"/>
    <w:bookmarkStart w:name="f-10155-25_NATSPEC_GEN_006_00000" w:id="361"/>
    <w:p>
      <w:pPr>
        <w:pStyle w:val="Standard1"/>
      </w:pPr>
      <w:r>
        <w:rPr/>
        <w:t xml:space="preserve">NATSPEC GEN 006</w:t>
      </w:r>
      <w:r>
        <w:tab/>
      </w:r>
      <w:r>
        <w:tab/>
      </w:r>
      <w:r>
        <w:rPr/>
        <w:t xml:space="preserve">Product specifying and substitution</w:t>
      </w:r>
    </w:p>
    <w:bookmarkEnd w:id="361"/>
    <w:bookmarkStart w:name="f-10155-25_NATSPEC_GEN_024_00000" w:id="362"/>
    <w:p>
      <w:pPr>
        <w:pStyle w:val="Standard1"/>
      </w:pPr>
      <w:r>
        <w:rPr/>
        <w:t xml:space="preserve">NATSPEC GEN 024</w:t>
      </w:r>
      <w:r>
        <w:tab/>
      </w:r>
      <w:r>
        <w:tab/>
      </w:r>
      <w:r>
        <w:rPr/>
        <w:t xml:space="preserve">Using NATSPEC selections schedules</w:t>
      </w:r>
    </w:p>
    <w:bookmarkEnd w:id="362"/>
    <w:bookmarkStart w:name="f-10155-25_NATSPEC_TR_01_00000" w:id="363"/>
    <w:p>
      <w:pPr>
        <w:pStyle w:val="Standard1"/>
      </w:pPr>
      <w:r>
        <w:rPr/>
        <w:t xml:space="preserve">NATSPEC TR 01</w:t>
      </w:r>
      <w:r>
        <w:tab/>
      </w:r>
      <w:r>
        <w:tab/>
      </w:r>
      <w:r>
        <w:rPr/>
        <w:t xml:space="preserve">Specifying ESD</w:t>
      </w:r>
    </w:p>
    <w:bookmarkEnd w:id="363"/>
    <w:bookmarkStart w:name="f-10155-25_WELDAUST_TN11_00000_2018" w:id="364"/>
    <w:p>
      <w:pPr>
        <w:pStyle w:val="Standard1"/>
      </w:pPr>
      <w:r>
        <w:rPr/>
        <w:t xml:space="preserve">Weld Australia TN11</w:t>
      </w:r>
      <w:r>
        <w:tab/>
      </w:r>
      <w:r>
        <w:rPr/>
        <w:t xml:space="preserve">2018</w:t>
      </w:r>
      <w:r>
        <w:tab/>
      </w:r>
      <w:r>
        <w:rPr/>
        <w:t xml:space="preserve">Commentary on the structural steel welding standard AS/NZS 1554</w:t>
      </w:r>
    </w:p>
    <w:bookmarkEnd w:id="364"/>
    <w:bookmarkStart w:name="f-10155-60_ISO_08501_000000" w:id="365"/>
    <w:p>
      <w:pPr>
        <w:pStyle w:val="Standard1"/>
      </w:pPr>
      <w:r>
        <w:rPr/>
        <w:t xml:space="preserve">ISO 8501</w:t>
      </w:r>
      <w:r>
        <w:tab/>
      </w:r>
      <w:r>
        <w:tab/>
      </w:r>
      <w:r>
        <w:rPr/>
        <w:t xml:space="preserve">Preparation of steel substrates before application of paints and related products - Visual assessment of surface cleanliness</w:t>
      </w:r>
    </w:p>
    <w:bookmarkEnd w:id="365"/>
    <w:bookmarkStart w:name="f-10155-60_ISO_08501_001000_1988" w:id="366"/>
    <w:p>
      <w:pPr>
        <w:pStyle w:val="Standard2"/>
      </w:pPr>
      <w:r>
        <w:rPr/>
        <w:t xml:space="preserve">ISO 8501-1</w:t>
      </w:r>
      <w:r>
        <w:tab/>
      </w:r>
      <w:r>
        <w:rPr/>
        <w:t xml:space="preserve">1988</w:t>
      </w:r>
      <w:r>
        <w:tab/>
      </w:r>
      <w:r>
        <w:rPr/>
        <w:t xml:space="preserve">Rust grades and preparation grades of uncoated steel substrates and of steel substrates after overall removal of previous coatings</w:t>
      </w:r>
    </w:p>
    <w:bookmarkEnd w:id="366"/>
    <w:bookmarkEnd w:id="29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0341p FIELDERS SlimFlor in structural steelwork.docx</dc:title>
  <cp:category>03 STRUCTURE</cp:category>
</cp:coreProperties>
</file>