
<file path=[Content_Types].xml><?xml version="1.0" encoding="utf-8"?>
<Types xmlns="http://schemas.openxmlformats.org/package/2006/content-types">
  <Override PartName="/word/document.xml" ContentType="application/vnd.openxmlformats-officedocument.wordprocessingml.document.main+xml"/>
  <Default Extension="rels" ContentType="application/vnd.openxmlformats-package.relationships+xml"/>
  <Default Extension="xml" ContentType="applicatio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http://schemas.openxmlformats.org/wordprocessingml/2006/main">
  <w:body>
    <w:bookmarkStart w:name="f-10157" w:id="0"/>
    <w:bookmarkEnd w:id="0"/>
    <w:bookmarkStart w:name="f-10157-1" w:id="1"/>
    <w:p>
      <w:pPr>
        <w:pStyle w:val="Heading1"/>
      </w:pPr>
      <w:bookmarkStart w:name="h-10157-1" w:id="2"/>
      <w:r>
        <w:rPr/>
        <w:t xml:space="preserve">0341p FIELDERS SlimFlor in structural steelwork</w:t>
      </w:r>
      <w:bookmarkEnd w:id="2"/>
    </w:p>
    <w:bookmarkEnd w:id="1"/>
    <w:bookmarkStart w:name="f-10157-10157.1" w:id="3"/>
    <w:p>
      <w:pPr>
        <w:pStyle w:val="InstructionsHeading4"/>
      </w:pPr>
      <w:bookmarkStart w:name="h-10157-10157.1" w:id="4"/>
      <w:r>
        <w:rPr/>
        <w:t xml:space="preserve">Branded worksection</w:t>
      </w:r>
      <w:bookmarkEnd w:id="4"/>
    </w:p>
    <w:p>
      <w:pPr>
        <w:pStyle w:val="Instructions"/>
      </w:pPr>
      <w:r>
        <w:rPr/>
        <w:t xml:space="preserve">This branded worksection </w:t>
      </w:r>
      <w:r>
        <w:rPr>
          <w:i/>
        </w:rPr>
        <w:t xml:space="preserve">Template</w:t>
      </w:r>
      <w:r>
        <w:rPr/>
        <w:t xml:space="preserve"> has been developed by NATSPEC in conjunction with </w:t>
      </w:r>
      <w:r>
        <w:rPr>
          <w:b/>
        </w:rPr>
        <w:t xml:space="preserve">Fielders Australia Pty Ltd</w:t>
      </w:r>
      <w:r>
        <w:rPr/>
        <w:t xml:space="preserve"> (the product partner) and may be used whilst the Product Partner is licensed to distribute it. The copyright remains with NATSPEC. As with all NATSPEC worksections, it is the responsibility of the user to make sure it is completed appropriately for the project. The user should also review its applicability for local conditions and regulations. Check </w:t>
      </w:r>
      <w:r>
        <w:fldChar w:fldCharType="begin"/>
      </w:r>
      <w:r>
        <w:instrText xml:space="preserve"> HYPERLINK "https://www.natspec.com.au/" </w:instrText>
      </w:r>
      <w:r>
        <w:fldChar w:fldCharType="separate"/>
      </w:r>
      <w:r>
        <w:rPr>
          <w:rStyle w:val="Hyperlink"/>
        </w:rPr>
        <w:t>www.natspec.com.au</w:t>
      </w:r>
      <w:r>
        <w:fldChar w:fldCharType="end"/>
      </w:r>
      <w:r>
        <w:rPr/>
        <w:t xml:space="preserve"> for the latest updated version.</w:t>
      </w:r>
    </w:p>
    <w:bookmarkEnd w:id="3"/>
    <w:bookmarkStart w:name="f-10157-t2-1" w:id="5"/>
    <w:p>
      <w:pPr>
        <w:pStyle w:val="InstructionsHeading4"/>
      </w:pPr>
      <w:bookmarkStart w:name="h-10157-t2-1" w:id="6"/>
      <w:r>
        <w:rPr/>
        <w:t xml:space="preserve">Worksection ab</w:t>
      </w:r>
      <w:r>
        <w:rPr>
          <w:i/>
        </w:rPr>
        <w:t xml:space="preserve">s</w:t>
      </w:r>
      <w:r>
        <w:rPr/>
        <w:t xml:space="preserve">tract</w:t>
      </w:r>
      <w:bookmarkEnd w:id="6"/>
    </w:p>
    <w:p>
      <w:pPr>
        <w:pStyle w:val="Instructions"/>
      </w:pPr>
      <w:r>
        <w:rPr/>
        <w:t xml:space="preserve">This branded worksection </w:t>
      </w:r>
      <w:r>
        <w:rPr>
          <w:i/>
        </w:rPr>
        <w:t xml:space="preserve">Template</w:t>
      </w:r>
      <w:r>
        <w:rPr/>
        <w:t xml:space="preserve"> is applicable to general structural steel framing in buildings, and associated structures. It includes cold-formed purlins and girts used in conjunction with structural steelwork. It covers welding, bolting, surface preparation and treatment of structural steelwork, and architecturally exposed structural steelwork (AESS). Fielders SlimFlor structural flooring system consists of an Asymmetric Steel Beam (ASB) combined with the KingFlor</w:t>
      </w:r>
      <w:r>
        <w:rPr>
          <w:vertAlign w:val="superscript"/>
        </w:rPr>
        <w:t xml:space="preserve">®</w:t>
      </w:r>
      <w:r>
        <w:rPr/>
        <w:t xml:space="preserve"> SlimDek 210 deep deck composite steel formwork for concrete slabs.</w:t>
      </w:r>
    </w:p>
    <w:bookmarkEnd w:id="5"/>
    <w:bookmarkStart w:name="f-10157-t3-1" w:id="7"/>
    <w:p>
      <w:pPr>
        <w:pStyle w:val="InstructionsHeading4"/>
      </w:pPr>
      <w:bookmarkStart w:name="h-10157-t3-1" w:id="8"/>
      <w:r>
        <w:rPr/>
        <w:t xml:space="preserve">Background</w:t>
      </w:r>
      <w:bookmarkEnd w:id="8"/>
    </w:p>
    <w:p>
      <w:pPr>
        <w:pStyle w:val="Instructions"/>
      </w:pPr>
      <w:r>
        <w:rPr/>
        <w:t xml:space="preserve">This branded worksection </w:t>
      </w:r>
      <w:r>
        <w:rPr>
          <w:i/>
        </w:rPr>
        <w:t xml:space="preserve">Template</w:t>
      </w:r>
      <w:r>
        <w:rPr/>
        <w:t xml:space="preserve"> incorporates the relevant requirements of AS/NZS 5131 (2016) and considers both the Australian Steel Institute (ASI) </w:t>
      </w:r>
      <w:r>
        <w:rPr>
          <w:i/>
        </w:rPr>
        <w:t xml:space="preserve">National structural steelwork specification</w:t>
      </w:r>
      <w:r>
        <w:rPr/>
        <w:t xml:space="preserve"> (ASI NSSS (2023)) and </w:t>
      </w:r>
      <w:r>
        <w:rPr>
          <w:i/>
        </w:rPr>
        <w:t xml:space="preserve">Structural steelwork standard drawing notes</w:t>
      </w:r>
      <w:r>
        <w:rPr/>
        <w:t xml:space="preserve"> (ASI SDN (2020)).</w:t>
      </w:r>
    </w:p>
    <w:bookmarkEnd w:id="7"/>
    <w:bookmarkStart w:name="f-10157-t4" w:id="9"/>
    <w:bookmarkStart w:name="f-8831" w:id="10"/>
    <w:bookmarkStart w:name="f-8831-99906-2" w:id="11"/>
    <w:p>
      <w:pPr>
        <w:pStyle w:val="InstructionsHeading4"/>
      </w:pPr>
      <w:bookmarkStart w:name="h-8831-99906-2" w:id="12"/>
      <w:r>
        <w:rPr/>
        <w:t xml:space="preserve">How to use this worksection</w:t>
      </w:r>
      <w:bookmarkEnd w:id="12"/>
    </w:p>
    <w:p>
      <w:pPr>
        <w:pStyle w:val="Instructions"/>
      </w:pPr>
      <w:r>
        <w:rPr/>
        <w:t xml:space="preserve">Customise this worksection </w:t>
      </w:r>
      <w:r>
        <w:rPr>
          <w:i/>
        </w:rPr>
        <w:t xml:space="preserve">Template</w:t>
      </w:r>
      <w:r>
        <w:rPr/>
        <w:t xml:space="preserve"> for each project. See </w:t>
      </w:r>
      <w:r>
        <w:fldChar w:fldCharType="begin"/>
      </w:r>
      <w:r>
        <w:instrText xml:space="preserve"> HYPERLINK "https://www.natspec.com.au/a-guide-to-natspec-worksections" </w:instrText>
      </w:r>
      <w:r>
        <w:fldChar w:fldCharType="separate"/>
      </w:r>
      <w:r>
        <w:rPr>
          <w:rStyle w:val="Hyperlink"/>
        </w:rPr>
        <w:t>A guide to NATSPEC worksections</w:t>
      </w:r>
      <w:r>
        <w:fldChar w:fldCharType="end"/>
      </w:r>
      <w:r>
        <w:rPr/>
        <w:t xml:space="preserve"> (</w:t>
      </w:r>
      <w:r>
        <w:fldChar w:fldCharType="begin"/>
      </w:r>
      <w:r>
        <w:instrText xml:space="preserve"> HYPERLINK "https://www.natspec.com.au/a-guide-to-natspec-worksections" </w:instrText>
      </w:r>
      <w:r>
        <w:fldChar w:fldCharType="separate"/>
      </w:r>
      <w:r>
        <w:rPr>
          <w:rStyle w:val="Hyperlink"/>
        </w:rPr>
        <w:t>www.natspec.com.au</w:t>
      </w:r>
      <w:r>
        <w:fldChar w:fldCharType="end"/>
      </w:r>
      <w:r>
        <w:rPr/>
        <w:t xml:space="preserve">) for information on </w:t>
      </w:r>
      <w:r>
        <w:rPr>
          <w:i/>
        </w:rPr>
        <w:t xml:space="preserve">Template</w:t>
      </w:r>
      <w:r>
        <w:rPr/>
        <w:t xml:space="preserve"> structure, word styles and completing a worksection.</w:t>
      </w:r>
    </w:p>
    <w:bookmarkEnd w:id="11"/>
    <w:bookmarkEnd w:id="10"/>
    <w:bookmarkEnd w:id="9"/>
    <w:bookmarkStart w:name="f-10157-t4-1" w:id="13"/>
    <w:bookmarkStart w:name="f-8177" w:id="14"/>
    <w:bookmarkStart w:name="f-8177-1" w:id="15"/>
    <w:p>
      <w:pPr>
        <w:pStyle w:val="InstructionsHeading4"/>
      </w:pPr>
      <w:bookmarkStart w:name="h-8177-1" w:id="16"/>
      <w:r>
        <w:rPr/>
        <w:t xml:space="preserve">Related material located elsewhere in NATSPEC</w:t>
      </w:r>
      <w:bookmarkEnd w:id="16"/>
    </w:p>
    <w:p>
      <w:pPr>
        <w:pStyle w:val="Instructions"/>
      </w:pPr>
      <w:r>
        <w:rPr/>
        <w:t xml:space="preserve">If a listed worksection is not part of your subscription package and you wish to purchase it, contact NATSPEC.</w:t>
      </w:r>
    </w:p>
    <w:p>
      <w:pPr>
        <w:pStyle w:val="Instructions"/>
      </w:pPr>
      <w:r>
        <w:rPr/>
        <w:t xml:space="preserve">Related material may be found in other worksections, including:</w:t>
      </w:r>
    </w:p>
    <w:bookmarkEnd w:id="15"/>
    <w:bookmarkEnd w:id="14"/>
    <w:p>
      <w:pPr>
        <w:pStyle w:val="Instructionsindent"/>
      </w:pPr>
      <w:r>
        <w:rPr>
          <w:i/>
        </w:rPr>
        <w:t xml:space="preserve">0183 Metals and prefinishes</w:t>
      </w:r>
      <w:r>
        <w:rPr/>
        <w:t xml:space="preserve">.</w:t>
      </w:r>
    </w:p>
    <w:p>
      <w:pPr>
        <w:pStyle w:val="Instructionsindent"/>
      </w:pPr>
      <w:r>
        <w:rPr>
          <w:i/>
        </w:rPr>
        <w:t xml:space="preserve">0314 Concrete in situ</w:t>
      </w:r>
      <w:r>
        <w:rPr/>
        <w:t xml:space="preserve"> for the installation of anchor bolts.</w:t>
      </w:r>
    </w:p>
    <w:p>
      <w:pPr>
        <w:pStyle w:val="Instructionsindent"/>
      </w:pPr>
      <w:r>
        <w:rPr>
          <w:i/>
        </w:rPr>
        <w:t xml:space="preserve">0342 Light steel framing</w:t>
      </w:r>
      <w:r>
        <w:rPr/>
        <w:t xml:space="preserve"> for cold-formed sections used in domestic floor, wall and roof framing.</w:t>
      </w:r>
    </w:p>
    <w:p>
      <w:pPr>
        <w:pStyle w:val="Instructionsindent"/>
      </w:pPr>
      <w:r>
        <w:rPr>
          <w:i/>
        </w:rPr>
        <w:t xml:space="preserve">0522 Partitions - framed and lined</w:t>
      </w:r>
      <w:r>
        <w:rPr/>
        <w:t xml:space="preserve"> for cold-formed sections used in partition framing.</w:t>
      </w:r>
    </w:p>
    <w:p>
      <w:pPr>
        <w:pStyle w:val="Instructions"/>
      </w:pPr>
      <w:r>
        <w:rPr/>
        <w:t xml:space="preserve">Related branded worksections include:</w:t>
      </w:r>
    </w:p>
    <w:p>
      <w:pPr>
        <w:pStyle w:val="Instructionsindent"/>
      </w:pPr>
      <w:r>
        <w:rPr>
          <w:i/>
        </w:rPr>
        <w:t xml:space="preserve">0311p FIELDERS KingFlor in concrete formwork</w:t>
      </w:r>
      <w:r>
        <w:rPr/>
        <w:t xml:space="preserve">.</w:t>
      </w:r>
    </w:p>
    <w:p>
      <w:pPr>
        <w:pStyle w:val="Instructionsindent"/>
      </w:pPr>
      <w:r>
        <w:rPr>
          <w:i/>
        </w:rPr>
        <w:t xml:space="preserve">0423p FIELDERS roofing - profiled sheet metal</w:t>
      </w:r>
      <w:r>
        <w:rPr/>
        <w:t xml:space="preserve">.</w:t>
      </w:r>
    </w:p>
    <w:p>
      <w:pPr>
        <w:pStyle w:val="Instructionsindent"/>
      </w:pPr>
      <w:r>
        <w:rPr>
          <w:i/>
        </w:rPr>
        <w:t xml:space="preserve">0424p FIELDERS roofing - specialised sheet metal</w:t>
      </w:r>
      <w:r>
        <w:rPr/>
        <w:t xml:space="preserve">.</w:t>
      </w:r>
    </w:p>
    <w:p>
      <w:pPr>
        <w:pStyle w:val="Instructionsindent"/>
      </w:pPr>
      <w:r>
        <w:rPr>
          <w:i/>
        </w:rPr>
        <w:t xml:space="preserve">0436p FIELDERS cladding - profiled sheet metal</w:t>
      </w:r>
      <w:r>
        <w:rPr/>
        <w:t xml:space="preserve">.</w:t>
      </w:r>
    </w:p>
    <w:p>
      <w:pPr>
        <w:pStyle w:val="Instructionsindent"/>
      </w:pPr>
      <w:r>
        <w:rPr>
          <w:i/>
        </w:rPr>
        <w:t xml:space="preserve">0437p FIELDERS wall cladding - specialised panels</w:t>
      </w:r>
      <w:r>
        <w:rPr/>
        <w:t xml:space="preserve">.</w:t>
      </w:r>
    </w:p>
    <w:bookmarkEnd w:id="13"/>
    <w:bookmarkStart w:name="f-10157-10157.2" w:id="17"/>
    <w:p>
      <w:pPr>
        <w:pStyle w:val="InstructionsHeading4"/>
      </w:pPr>
      <w:bookmarkStart w:name="h-10157-10157.2" w:id="18"/>
      <w:r>
        <w:rPr/>
        <w:t xml:space="preserve">Material not provided by Fielders</w:t>
      </w:r>
      <w:bookmarkEnd w:id="18"/>
    </w:p>
    <w:p>
      <w:pPr>
        <w:pStyle w:val="Instructions"/>
      </w:pPr>
      <w:r>
        <w:rPr/>
        <w:t xml:space="preserve">This worksection includes generic material which may not be provided by the Product Partner including:</w:t>
      </w:r>
    </w:p>
    <w:p>
      <w:pPr>
        <w:pStyle w:val="Instructionsindent"/>
      </w:pPr>
      <w:r>
        <w:rPr/>
        <w:t xml:space="preserve">Structural steel, other than the ASB required for the SlimFlor system.</w:t>
      </w:r>
    </w:p>
    <w:p>
      <w:pPr>
        <w:pStyle w:val="Instructionsindent"/>
      </w:pPr>
      <w:r>
        <w:rPr/>
        <w:t xml:space="preserve">Bolts.</w:t>
      </w:r>
    </w:p>
    <w:bookmarkEnd w:id="17"/>
    <w:bookmarkStart w:name="f-10157-t7-1" w:id="19"/>
    <w:p>
      <w:pPr>
        <w:pStyle w:val="InstructionsHeading4"/>
      </w:pPr>
      <w:bookmarkStart w:name="h-10157-t7-1" w:id="20"/>
      <w:r>
        <w:rPr/>
        <w:t xml:space="preserve">Documenting this and related work</w:t>
      </w:r>
      <w:bookmarkEnd w:id="20"/>
    </w:p>
    <w:p>
      <w:pPr>
        <w:pStyle w:val="Instructions"/>
      </w:pPr>
      <w:r>
        <w:rPr/>
        <w:t xml:space="preserve">You may document this and related work as follows:</w:t>
      </w:r>
    </w:p>
    <w:p>
      <w:pPr>
        <w:pStyle w:val="Instructionsindent"/>
      </w:pPr>
      <w:r>
        <w:rPr/>
        <w:t xml:space="preserve">Refer to AS/NZS 5131 (2016) Section 4 for specification, documentation and traceability requirements.</w:t>
      </w:r>
    </w:p>
    <w:p>
      <w:pPr>
        <w:pStyle w:val="Instructionsindent"/>
      </w:pPr>
      <w:r>
        <w:rPr/>
        <w:t xml:space="preserve">If areas are subject to plastic deformation show them on the drawings. See AS 4100 (2020) clause 13.3.6.4.</w:t>
      </w:r>
    </w:p>
    <w:bookmarkStart w:name="f-8338" w:id="21"/>
    <w:bookmarkStart w:name="f-8338-1" w:id="22"/>
    <w:p>
      <w:pPr>
        <w:pStyle w:val="Instructions"/>
      </w:pPr>
      <w:r>
        <w:rPr/>
        <w:t xml:space="preserve">The </w:t>
      </w:r>
      <w:r>
        <w:rPr>
          <w:i/>
        </w:rPr>
        <w:t xml:space="preserve">Normal</w:t>
      </w:r>
      <w:r>
        <w:rPr/>
        <w:t xml:space="preserve"> style text of this worksection may refer to items as being documented elsewhere in the contract documentation. Make sure they are documented.</w:t>
      </w:r>
    </w:p>
    <w:bookmarkEnd w:id="22"/>
    <w:bookmarkEnd w:id="21"/>
    <w:p>
      <w:pPr>
        <w:pStyle w:val="Instructionsindent"/>
      </w:pPr>
      <w:r>
        <w:rPr/>
        <w:t xml:space="preserve">Connections with slotted holes.</w:t>
      </w:r>
    </w:p>
    <w:p>
      <w:pPr>
        <w:pStyle w:val="Instructionsindent"/>
      </w:pPr>
      <w:r>
        <w:rPr/>
        <w:t xml:space="preserve">Weld type, size and category.</w:t>
      </w:r>
    </w:p>
    <w:p>
      <w:pPr>
        <w:pStyle w:val="Instructionsindent"/>
      </w:pPr>
      <w:r>
        <w:rPr/>
        <w:t xml:space="preserve">Splice locations and details.</w:t>
      </w:r>
    </w:p>
    <w:p>
      <w:pPr>
        <w:pStyle w:val="Instructionsindent"/>
      </w:pPr>
      <w:r>
        <w:rPr/>
        <w:t xml:space="preserve">Section sizes, location and connection details.</w:t>
      </w:r>
    </w:p>
    <w:p>
      <w:pPr>
        <w:pStyle w:val="Instructionsindent"/>
      </w:pPr>
      <w:r>
        <w:rPr/>
        <w:t xml:space="preserve">Anchor bolt size and location.</w:t>
      </w:r>
    </w:p>
    <w:p>
      <w:pPr>
        <w:pStyle w:val="Instructionsindent"/>
      </w:pPr>
      <w:r>
        <w:rPr/>
        <w:t xml:space="preserve">Purlin and girt size and spacing.</w:t>
      </w:r>
    </w:p>
    <w:p>
      <w:pPr>
        <w:pStyle w:val="Instructionsindent"/>
      </w:pPr>
      <w:r>
        <w:rPr/>
        <w:t xml:space="preserve">Bridging requirements for purlins and girts.</w:t>
      </w:r>
    </w:p>
    <w:p>
      <w:pPr>
        <w:pStyle w:val="Instructionsindent"/>
      </w:pPr>
      <w:r>
        <w:rPr/>
        <w:t xml:space="preserve">Required temporary propping locations to SlimDek 210 deck.</w:t>
      </w:r>
    </w:p>
    <w:bookmarkStart w:name="f-6972" w:id="23"/>
    <w:bookmarkStart w:name="f-6972-1" w:id="24"/>
    <w:p>
      <w:pPr>
        <w:pStyle w:val="Instructions"/>
      </w:pPr>
      <w:r>
        <w:rPr/>
        <w:t xml:space="preserve">Search </w:t>
      </w:r>
      <w:r>
        <w:fldChar w:fldCharType="begin"/>
      </w:r>
      <w:r>
        <w:instrText xml:space="preserve"> HYPERLINK "https://acumen.architecture.com.au/" </w:instrText>
      </w:r>
      <w:r>
        <w:fldChar w:fldCharType="separate"/>
      </w:r>
      <w:r>
        <w:rPr>
          <w:rStyle w:val="Hyperlink"/>
        </w:rPr>
        <w:t>acumen.architecture.com.au</w:t>
      </w:r>
      <w:r>
        <w:fldChar w:fldCharType="end"/>
      </w:r>
      <w:r>
        <w:rPr/>
        <w:t xml:space="preserve">, the Australian Institute of Architects' practice advisory subscription service, for notes on the following:</w:t>
      </w:r>
    </w:p>
    <w:bookmarkEnd w:id="24"/>
    <w:bookmarkEnd w:id="23"/>
    <w:p>
      <w:pPr>
        <w:pStyle w:val="Instructionsindent"/>
      </w:pPr>
      <w:r>
        <w:rPr/>
        <w:t xml:space="preserve">Guarantees and warranties.</w:t>
      </w:r>
    </w:p>
    <w:bookmarkEnd w:id="19"/>
    <w:bookmarkStart w:name="f-10157-t8-1" w:id="25"/>
    <w:p>
      <w:pPr>
        <w:pStyle w:val="InstructionsHeading4"/>
      </w:pPr>
      <w:bookmarkStart w:name="h-10157-t8-1" w:id="26"/>
      <w:r>
        <w:rPr/>
        <w:t xml:space="preserve">Specifying ESD</w:t>
      </w:r>
      <w:bookmarkEnd w:id="26"/>
    </w:p>
    <w:p>
      <w:pPr>
        <w:pStyle w:val="Instructions"/>
      </w:pPr>
      <w:r>
        <w:rPr/>
        <w:t xml:space="preserve">The following may be specified by using included options:</w:t>
      </w:r>
    </w:p>
    <w:p>
      <w:pPr>
        <w:pStyle w:val="Instructionsindent"/>
      </w:pPr>
      <w:r>
        <w:rPr/>
        <w:t xml:space="preserve">Environmentally sustainable steelwork conforming to the requirements of the Steel Sustainability Australia Certification Program.</w:t>
      </w:r>
    </w:p>
    <w:p>
      <w:pPr>
        <w:pStyle w:val="Instructions"/>
      </w:pPr>
      <w:r>
        <w:rPr/>
        <w:t xml:space="preserve">The following may be specified by including additional text:</w:t>
      </w:r>
    </w:p>
    <w:p>
      <w:pPr>
        <w:pStyle w:val="Instructionsindent"/>
      </w:pPr>
      <w:r>
        <w:rPr/>
        <w:t xml:space="preserve">Recycled material content.</w:t>
      </w:r>
    </w:p>
    <w:p>
      <w:pPr>
        <w:pStyle w:val="Instructionsindent"/>
      </w:pPr>
      <w:r>
        <w:rPr/>
        <w:t xml:space="preserve">High strength steel to reduce the amount of steel required to achieve the same performance.</w:t>
      </w:r>
    </w:p>
    <w:p>
      <w:pPr>
        <w:pStyle w:val="Instructionsindent"/>
      </w:pPr>
      <w:r>
        <w:rPr/>
        <w:t xml:space="preserve">Use of recycled water by the steel manufacturing plant.</w:t>
      </w:r>
    </w:p>
    <w:p>
      <w:pPr>
        <w:pStyle w:val="Instructions"/>
      </w:pPr>
      <w:r>
        <w:rPr/>
        <w:t xml:space="preserve">Refer to NATSPEC TECHreport TR 01 on specifying ESD.</w:t>
      </w:r>
    </w:p>
    <w:bookmarkEnd w:id="25"/>
    <w:bookmarkStart w:name="f-10157-2" w:id="27"/>
    <w:bookmarkStart w:name="f-10153" w:id="28"/>
    <w:bookmarkStart w:name="f-10153-1" w:id="29"/>
    <w:p>
      <w:pPr>
        <w:pStyle w:val="Heading2"/>
      </w:pPr>
      <w:bookmarkStart w:name="h-10153-1" w:id="30"/>
      <w:r>
        <w:rPr/>
        <w:t xml:space="preserve">GENERAL</w:t>
      </w:r>
      <w:bookmarkEnd w:id="30"/>
    </w:p>
    <w:bookmarkEnd w:id="29"/>
    <w:bookmarkStart w:name="f-10153-10153.1" w:id="31"/>
    <w:p>
      <w:pPr>
        <w:pStyle w:val="Instructions"/>
      </w:pPr>
      <w:r>
        <w:rPr/>
        <w:t xml:space="preserve">Fielders is a leading local manufacturer of a comprehensive range of roll-formed steel products supplied to commercial, industrial and domestic building markets throughout Australia.</w:t>
      </w:r>
    </w:p>
    <w:p>
      <w:pPr>
        <w:pStyle w:val="Instructions"/>
      </w:pPr>
      <w:r>
        <w:rPr/>
        <w:t xml:space="preserve">Fielders’ focus on innovation, breadth of product and extensive customer support offering, make it a preferred supplier for engineers, architects and construction companies around the country.</w:t>
      </w:r>
    </w:p>
    <w:p>
      <w:pPr>
        <w:pStyle w:val="Instructions"/>
      </w:pPr>
      <w:r>
        <w:rPr/>
        <w:t xml:space="preserve">The Fielders range is supported by 10 branches nationwide, including manufacturing facilities at Novar Gardens, SA and Campbellfield, VIC, which also offer in-house processing capabilities.</w:t>
      </w:r>
    </w:p>
    <w:bookmarkEnd w:id="31"/>
    <w:bookmarkStart w:name="f-10153-2" w:id="32"/>
    <w:p>
      <w:pPr>
        <w:pStyle w:val="Heading3"/>
      </w:pPr>
      <w:bookmarkStart w:name="h-10153-2" w:id="33"/>
      <w:r>
        <w:rPr/>
        <w:t xml:space="preserve">RESPONSIBILITIES</w:t>
      </w:r>
      <w:bookmarkEnd w:id="33"/>
    </w:p>
    <w:bookmarkEnd w:id="32"/>
    <w:bookmarkStart w:name="f-10153-3" w:id="34"/>
    <w:p>
      <w:pPr>
        <w:pStyle w:val="Heading4"/>
      </w:pPr>
      <w:bookmarkStart w:name="h-10153-3" w:id="35"/>
      <w:r>
        <w:rPr/>
        <w:t xml:space="preserve">General</w:t>
      </w:r>
      <w:bookmarkEnd w:id="35"/>
    </w:p>
    <w:p>
      <w:pPr>
        <w:pStyle w:val="Body Text"/>
      </w:pPr>
      <w:r>
        <w:rPr/>
        <w:t xml:space="preserve">Requirement: Provide Fielders SlimFlor 210 floor system and other structural steelwork, as documented.</w:t>
      </w:r>
    </w:p>
    <w:p>
      <w:pPr>
        <w:pStyle w:val="Instructions"/>
      </w:pPr>
      <w:r>
        <w:rPr>
          <w:i/>
        </w:rPr>
        <w:t xml:space="preserve">Documented</w:t>
      </w:r>
      <w:r>
        <w:rPr/>
        <w:t xml:space="preserve"> is defined in </w:t>
      </w:r>
      <w:r>
        <w:rPr>
          <w:i/>
        </w:rPr>
        <w:t xml:space="preserve">0171 General requirements</w:t>
      </w:r>
      <w:r>
        <w:rPr/>
        <w:t xml:space="preserve"> as meaning contained in the contract documents.</w:t>
      </w:r>
    </w:p>
    <w:p>
      <w:pPr>
        <w:pStyle w:val="Instructions"/>
      </w:pPr>
      <w:r>
        <w:rPr/>
        <w:t xml:space="preserve">AS/NZS 5131 (2016) clause 4.1.1(d) requires the assignment of the responsibilities listed in AS/NZS 5131 (2016) Table B3. The table lists areas where assignment of responsibilities may need to be clarified in the contract documents. The list does not represent the only areas of responsibility that need to be addressed, only those where current construction practice may vary between projects.</w:t>
      </w:r>
    </w:p>
    <w:bookmarkEnd w:id="34"/>
    <w:bookmarkStart w:name="f-10153-4" w:id="36"/>
    <w:p>
      <w:pPr>
        <w:pStyle w:val="Heading4"/>
      </w:pPr>
      <w:bookmarkStart w:name="h-10153-4" w:id="37"/>
      <w:r>
        <w:rPr/>
        <w:t xml:space="preserve">Performance</w:t>
      </w:r>
      <w:bookmarkEnd w:id="37"/>
    </w:p>
    <w:p>
      <w:pPr>
        <w:pStyle w:val="Prompt"/>
      </w:pPr>
      <w:r>
        <w:rPr/>
        <w:t xml:space="preserve">Construction category to AS 4100 (2020) and AS/NZS 5131 (2016): </w:t>
      </w:r>
      <w:r>
        <w:fldChar w:fldCharType="begin"/>
        <w:instrText xml:space="preserve"> MACROBUTTON  ac_OnHelp [complete/delete]</w:instrText>
        <w:fldChar w:fldCharType="separate"/>
        <w:t xml:space="preserve"> </w:t>
        <w:fldChar w:fldCharType="end"/>
      </w:r>
    </w:p>
    <w:p>
      <w:pPr>
        <w:pStyle w:val="Instructions"/>
      </w:pPr>
      <w:r>
        <w:rPr/>
        <w:t xml:space="preserve">Insert construction category. Do not delete. Refer to AS/NZS 5131 (2016) clause 4.1.2 and Appendix C or AS 4100 (2020) Appendix L to determine the construction category (CC1 to CC4) for the structure.</w:t>
      </w:r>
    </w:p>
    <w:p>
      <w:pPr>
        <w:pStyle w:val="Instructions"/>
      </w:pPr>
      <w:r>
        <w:rPr/>
        <w:t xml:space="preserve">The requirements of each construction category are detailed in AS/NZS 5131 (2016) Table B4.</w:t>
      </w:r>
    </w:p>
    <w:p>
      <w:pPr>
        <w:pStyle w:val="Instructions"/>
      </w:pPr>
      <w:r>
        <w:rPr/>
        <w:t xml:space="preserve">The construction category is based on the Importance level, the Service category and the Fabrication category. Refer to AS/NZS 5131 (2016) clause C3 or AS 4100 (2020) clause L4.</w:t>
      </w:r>
    </w:p>
    <w:p>
      <w:pPr>
        <w:pStyle w:val="Instructions"/>
      </w:pPr>
      <w:r>
        <w:rPr/>
        <w:t xml:space="preserve">A construction category may apply to the whole structure, to parts of the structure or to specific details. If more than one construction category is applicable to the project, consider using a schedule in SELECTIONS to document the project construction categories.</w:t>
      </w:r>
    </w:p>
    <w:p>
      <w:pPr>
        <w:pStyle w:val="Body Text"/>
      </w:pPr>
      <w:r>
        <w:rPr/>
        <w:t xml:space="preserve">Adjoining elements: Provide for the fixing of adjoining building elements that are to be connected to or supported on the structural steel.</w:t>
      </w:r>
    </w:p>
    <w:p>
      <w:pPr>
        <w:pStyle w:val="Instructions"/>
      </w:pPr>
      <w:r>
        <w:rPr/>
        <w:t xml:space="preserve">Fixing requirements for adjoining elements may not be shown on the structural drawings. This clause makes it the contractor’s responsibility to coordinate the requirements. The design effects or supplementary fixing may require professional engineer analysis.</w:t>
      </w:r>
    </w:p>
    <w:bookmarkEnd w:id="36"/>
    <w:bookmarkStart w:name="f-10153-10153.3" w:id="38"/>
    <w:p>
      <w:pPr>
        <w:pStyle w:val="Heading3"/>
      </w:pPr>
      <w:bookmarkStart w:name="h-10153-10153.3" w:id="39"/>
      <w:r>
        <w:rPr/>
        <w:t xml:space="preserve">COMPANY CONTACTS</w:t>
      </w:r>
      <w:bookmarkEnd w:id="39"/>
    </w:p>
    <w:bookmarkEnd w:id="38"/>
    <w:bookmarkStart w:name="f-10153-10153.2" w:id="40"/>
    <w:p>
      <w:pPr>
        <w:pStyle w:val="Heading4"/>
      </w:pPr>
      <w:bookmarkStart w:name="h-10153-10153.2" w:id="41"/>
      <w:r>
        <w:rPr/>
        <w:t xml:space="preserve">Fielders technical contacts</w:t>
      </w:r>
      <w:bookmarkEnd w:id="41"/>
    </w:p>
    <w:p>
      <w:pPr>
        <w:pStyle w:val="Body Text"/>
      </w:pPr>
      <w:r>
        <w:rPr/>
        <w:t xml:space="preserve">Website: </w:t>
      </w:r>
      <w:r>
        <w:fldChar w:fldCharType="begin"/>
      </w:r>
      <w:r>
        <w:instrText xml:space="preserve"> HYPERLINK "https://www.fielders.com.au/aspx/contact.aspx" </w:instrText>
      </w:r>
      <w:r>
        <w:fldChar w:fldCharType="separate"/>
      </w:r>
      <w:r>
        <w:rPr>
          <w:rStyle w:val="Hyperlink"/>
        </w:rPr>
        <w:t>www.fielders.com.au/aspx/contact.aspx</w:t>
      </w:r>
      <w:r>
        <w:fldChar w:fldCharType="end"/>
      </w:r>
      <w:r>
        <w:rPr/>
        <w:t xml:space="preserve">.</w:t>
      </w:r>
    </w:p>
    <w:bookmarkEnd w:id="40"/>
    <w:bookmarkStart w:name="f-10153-5" w:id="42"/>
    <w:p>
      <w:pPr>
        <w:pStyle w:val="Heading3"/>
      </w:pPr>
      <w:bookmarkStart w:name="h-10153-5" w:id="43"/>
      <w:r>
        <w:rPr/>
        <w:t xml:space="preserve">CROSS REFERENCES</w:t>
      </w:r>
      <w:bookmarkEnd w:id="43"/>
    </w:p>
    <w:bookmarkEnd w:id="42"/>
    <w:bookmarkStart w:name="f-10153-6" w:id="44"/>
    <w:p>
      <w:pPr>
        <w:pStyle w:val="Heading4"/>
      </w:pPr>
      <w:bookmarkStart w:name="h-10153-6" w:id="45"/>
      <w:r>
        <w:rPr/>
        <w:t xml:space="preserve">General</w:t>
      </w:r>
      <w:bookmarkEnd w:id="45"/>
    </w:p>
    <w:p>
      <w:pPr>
        <w:pStyle w:val="Body Text"/>
      </w:pPr>
      <w:r>
        <w:rPr/>
        <w:t xml:space="preserve">Requirement: Conform to the following:</w:t>
      </w:r>
    </w:p>
    <w:p>
      <w:pPr>
        <w:pStyle w:val="OptionalNormalIndent"/>
      </w:pPr>
      <w:r>
        <w:rPr>
          <w:i/>
        </w:rPr>
        <w:t xml:space="preserve">0160 Quality.</w:t>
      </w:r>
    </w:p>
    <w:p>
      <w:pPr>
        <w:pStyle w:val="Instructions"/>
      </w:pPr>
      <w:r>
        <w:rPr/>
        <w:t xml:space="preserve">If quality documentation or a quality plan is a project requirement, consider changing this </w:t>
      </w:r>
      <w:r>
        <w:rPr>
          <w:i/>
        </w:rPr>
        <w:t xml:space="preserve">Optional</w:t>
      </w:r>
      <w:r>
        <w:rPr/>
        <w:t xml:space="preserve"> style text to </w:t>
      </w:r>
      <w:r>
        <w:rPr>
          <w:i/>
        </w:rPr>
        <w:t xml:space="preserve">Normal</w:t>
      </w:r>
      <w:r>
        <w:rPr/>
        <w:t xml:space="preserve"> style text. Include the requirements for quality documentation and a quality plan in </w:t>
      </w:r>
      <w:r>
        <w:rPr>
          <w:i/>
        </w:rPr>
        <w:t xml:space="preserve">0160 Quality</w:t>
      </w:r>
      <w:r>
        <w:rPr/>
        <w:t xml:space="preserve">.</w:t>
      </w:r>
    </w:p>
    <w:p>
      <w:pPr>
        <w:pStyle w:val="Instructions"/>
      </w:pPr>
      <w:r>
        <w:rPr/>
        <w:t xml:space="preserve">Alternatively, if quality is only a requirement for the structural steelwork elements of the project, consider including the requirements for quality documentation and a quality plan within this worksection.</w:t>
      </w:r>
    </w:p>
    <w:p>
      <w:pPr>
        <w:pStyle w:val="Instructions"/>
      </w:pPr>
      <w:r>
        <w:rPr/>
        <w:t xml:space="preserve">AS/NZS 5131 (2016) clause 4.5.1 requires quality documentation for all construction categories except CC1. AS/NZS 5131 (2016) Appendix D provides guidance on the elements of a quality management system applicable to fabrication, corrosion protection and erection.</w:t>
      </w:r>
    </w:p>
    <w:p>
      <w:pPr>
        <w:pStyle w:val="Instructions"/>
      </w:pPr>
      <w:r>
        <w:rPr/>
        <w:t xml:space="preserve">AS/NZS 5131 (2016) clause 4.5.2 requires a project quality plan for construction categories CC3 and CC4. A quality plan is optional for construction category CC2. AS/NZS 5131 (2016) Appendix E provides guidance on the content of a quality plan.</w:t>
      </w:r>
    </w:p>
    <w:p>
      <w:pPr>
        <w:pStyle w:val="Instructions"/>
      </w:pPr>
      <w:r>
        <w:rPr/>
        <w:t xml:space="preserve">The ASI also recommends the use of a compliance management plan, which would include the quality plan requirements from AS/NZS 5131 (2016) and the following:</w:t>
      </w:r>
    </w:p>
    <w:p>
      <w:pPr>
        <w:pStyle w:val="Instructionsindent"/>
      </w:pPr>
      <w:r>
        <w:rPr/>
        <w:t xml:space="preserve">Process and documentation checklists for purchasing steel.</w:t>
      </w:r>
    </w:p>
    <w:p>
      <w:pPr>
        <w:pStyle w:val="Instructionsindent"/>
      </w:pPr>
      <w:r>
        <w:rPr/>
        <w:t xml:space="preserve">Process for identification and traceability of steel and steelwork from purchasing through to completion of the project.</w:t>
      </w:r>
    </w:p>
    <w:p>
      <w:pPr>
        <w:pStyle w:val="Instructionsindent"/>
      </w:pPr>
      <w:r>
        <w:rPr/>
        <w:t xml:space="preserve">Process and documentation checklists for erection of structural steelwork.</w:t>
      </w:r>
    </w:p>
    <w:p>
      <w:pPr>
        <w:pStyle w:val="Instructionsindent"/>
      </w:pPr>
      <w:r>
        <w:rPr/>
        <w:t xml:space="preserve">Process for review of steel and steelwork documentation to make sure the performance requirements of the NCC and nominated Australian Standards are met.</w:t>
      </w:r>
    </w:p>
    <w:p>
      <w:pPr>
        <w:pStyle w:val="Instructionsindent"/>
      </w:pPr>
      <w:r>
        <w:rPr/>
        <w:t xml:space="preserve">Assigned responsibilities for compliance management, including names and CV’s of relevant personnel.</w:t>
      </w:r>
    </w:p>
    <w:p>
      <w:pPr>
        <w:pStyle w:val="Instructions"/>
      </w:pPr>
      <w:r>
        <w:rPr/>
        <w:t xml:space="preserve">If a compliance management plan is a project requirement, document requirements in </w:t>
      </w:r>
      <w:r>
        <w:rPr>
          <w:i/>
        </w:rPr>
        <w:t xml:space="preserve">0160 Quality</w:t>
      </w:r>
      <w:r>
        <w:rPr/>
        <w:t xml:space="preserve">.</w:t>
      </w:r>
    </w:p>
    <w:p>
      <w:pPr>
        <w:pStyle w:val="Instructions"/>
      </w:pPr>
      <w:r>
        <w:rPr/>
        <w:t xml:space="preserve">The ASI also recommends the submission of a fabricator's Manufacturer’s data report (MDR), the structure and contents of which are defined in ASI NSSS (2023) clause 4.8.8. If the submission of a fabricator's MDR is a project requirement, document requirements either in </w:t>
      </w:r>
      <w:r>
        <w:rPr>
          <w:i/>
        </w:rPr>
        <w:t xml:space="preserve">0160 Quality</w:t>
      </w:r>
      <w:r>
        <w:rPr/>
        <w:t xml:space="preserve"> or in the </w:t>
      </w:r>
      <w:r>
        <w:rPr>
          <w:b/>
        </w:rPr>
        <w:t xml:space="preserve">SUBMISSIONS</w:t>
      </w:r>
      <w:r>
        <w:rPr/>
        <w:t xml:space="preserve"> clause of this worksection.</w:t>
      </w:r>
    </w:p>
    <w:p>
      <w:pPr>
        <w:pStyle w:val="Instructions"/>
      </w:pPr>
      <w:r>
        <w:rPr/>
        <w:t xml:space="preserve">The requirements for Inspection and Test Plans (ITPs) should be included in the quality plan. Include such requirements in </w:t>
      </w:r>
      <w:r>
        <w:rPr>
          <w:i/>
        </w:rPr>
        <w:t xml:space="preserve">0160 Quality</w:t>
      </w:r>
      <w:r>
        <w:rPr/>
        <w:t xml:space="preserve">. Refer to AS/NZS 5131 (2016) Section 13.</w:t>
      </w:r>
    </w:p>
    <w:p>
      <w:pPr>
        <w:pStyle w:val="NormalIndent"/>
      </w:pPr>
      <w:r>
        <w:rPr>
          <w:i/>
        </w:rPr>
        <w:t xml:space="preserve">0171 General requirements</w:t>
      </w:r>
      <w:r>
        <w:rPr/>
        <w:t xml:space="preserve">.</w:t>
      </w:r>
    </w:p>
    <w:p>
      <w:pPr>
        <w:pStyle w:val="Instructions"/>
      </w:pPr>
      <w:r>
        <w:rPr>
          <w:i/>
        </w:rPr>
        <w:t xml:space="preserve">0171 General requirements</w:t>
      </w:r>
      <w:r>
        <w:rPr/>
        <w:t xml:space="preserve"> contains umbrella requirements for all building and services worksections.</w:t>
      </w:r>
    </w:p>
    <w:p>
      <w:pPr>
        <w:pStyle w:val="NormalIndent"/>
      </w:pPr>
      <w:r>
        <w:rPr>
          <w:i/>
        </w:rPr>
        <w:t xml:space="preserve">0344 Steel - hot-dip galvanized coatings</w:t>
      </w:r>
      <w:r>
        <w:rPr/>
        <w:t xml:space="preserve">.</w:t>
      </w:r>
    </w:p>
    <w:p>
      <w:pPr>
        <w:pStyle w:val="NormalIndent"/>
      </w:pPr>
      <w:r>
        <w:rPr>
          <w:i/>
        </w:rPr>
        <w:t xml:space="preserve">0345 Steel - protective paint coatings</w:t>
      </w:r>
      <w:r>
        <w:rPr/>
        <w:t xml:space="preserve">.</w:t>
      </w:r>
    </w:p>
    <w:p>
      <w:pPr>
        <w:pStyle w:val="NormalIndent"/>
      </w:pPr>
      <w:r>
        <w:rPr>
          <w:i/>
        </w:rPr>
        <w:t xml:space="preserve">0346 Structural fire protection systems</w:t>
      </w:r>
      <w:r>
        <w:rPr/>
        <w:t xml:space="preserve">.</w:t>
      </w:r>
    </w:p>
    <w:p>
      <w:pPr>
        <w:pStyle w:val="Instructions"/>
      </w:pPr>
      <w:r>
        <w:rPr/>
        <w:t xml:space="preserve">List the worksections cross referenced by this worksection. </w:t>
      </w:r>
      <w:r>
        <w:rPr>
          <w:i/>
        </w:rPr>
        <w:t xml:space="preserve">0171 General requirements</w:t>
      </w:r>
      <w:r>
        <w:rPr/>
        <w:t xml:space="preserve"> references the </w:t>
      </w:r>
      <w:r>
        <w:rPr>
          <w:i/>
        </w:rPr>
        <w:t xml:space="preserve">018 Common requirements</w:t>
      </w:r>
      <w:r>
        <w:rPr/>
        <w:t xml:space="preserve"> subgroup of worksections. It is not necessary to repeat them here. However, you may also wish to direct the contractor to other worksections where there may be work that is closely associated with this work.</w:t>
      </w:r>
    </w:p>
    <w:p>
      <w:pPr>
        <w:pStyle w:val="Instructions"/>
      </w:pPr>
      <w:r>
        <w:rPr/>
        <w:t xml:space="preserve">NATSPEC uses generic worksection titles, whether or not there are branded equivalents. If you use a branded worksection, change the cross reference here.</w:t>
      </w:r>
    </w:p>
    <w:bookmarkEnd w:id="44"/>
    <w:bookmarkStart w:name="f-10153-7" w:id="46"/>
    <w:p>
      <w:pPr>
        <w:pStyle w:val="Heading3"/>
      </w:pPr>
      <w:bookmarkStart w:name="h-10153-7" w:id="47"/>
      <w:r>
        <w:rPr/>
        <w:t xml:space="preserve">STANDARDS</w:t>
      </w:r>
      <w:bookmarkEnd w:id="47"/>
    </w:p>
    <w:bookmarkEnd w:id="46"/>
    <w:bookmarkStart w:name="f-10153-8" w:id="48"/>
    <w:p>
      <w:pPr>
        <w:pStyle w:val="Heading4"/>
      </w:pPr>
      <w:bookmarkStart w:name="h-10153-8" w:id="49"/>
      <w:r>
        <w:rPr/>
        <w:t xml:space="preserve">General</w:t>
      </w:r>
      <w:bookmarkEnd w:id="49"/>
    </w:p>
    <w:p>
      <w:pPr>
        <w:pStyle w:val="Body Text"/>
      </w:pPr>
      <w:r>
        <w:rPr/>
        <w:t xml:space="preserve">Materials and design: To AS 4100 (2020).</w:t>
      </w:r>
    </w:p>
    <w:p>
      <w:pPr>
        <w:pStyle w:val="Body Text"/>
      </w:pPr>
      <w:r>
        <w:rPr/>
        <w:t xml:space="preserve">Materials and design of cold-formed decking, purlins and girts: To AS/NZS 4600 (2018).</w:t>
      </w:r>
    </w:p>
    <w:p>
      <w:pPr>
        <w:pStyle w:val="Instructions"/>
      </w:pPr>
      <w:r>
        <w:rPr/>
        <w:t xml:space="preserve">AS/NZS 4600 (2018) specifies design and material requirements for structural members made by cold-forming carbon and low alloy steel strip or sheet. However, AS/NZS 5131 (2016) covers the fabrication and erection of these members. The material and design requirements for cold-formed structural hollow sections conforming to AS/NZS 1163 (2016) are covered by AS 4100 (2020).</w:t>
      </w:r>
    </w:p>
    <w:p>
      <w:pPr>
        <w:pStyle w:val="Body Text"/>
      </w:pPr>
      <w:r>
        <w:rPr/>
        <w:t xml:space="preserve">Composite steel-concrete construction including profiled steel sheeting and shear connectors: To AS/NZS 2327 (2017).</w:t>
      </w:r>
    </w:p>
    <w:p>
      <w:pPr>
        <w:pStyle w:val="Body Text"/>
      </w:pPr>
      <w:r>
        <w:rPr/>
        <w:t xml:space="preserve">Fabrication and erection: To AS/NZS 5131 (2016).</w:t>
      </w:r>
    </w:p>
    <w:p>
      <w:pPr>
        <w:pStyle w:val="Instructions"/>
      </w:pPr>
      <w:r>
        <w:rPr/>
        <w:t xml:space="preserve">AS/NZS 5131 (2016) sets out the minimum requirements for the construction of structural steelwork involving fabrication, preparation of steel surfaces for corrosion protection, corrosion protection comprising painting and galvanizing, erection and modification of steelwork.</w:t>
      </w:r>
    </w:p>
    <w:p>
      <w:pPr>
        <w:pStyle w:val="Instructions"/>
      </w:pPr>
      <w:r>
        <w:rPr/>
        <w:t xml:space="preserve">For further information on steel fabrication and erection, refer to ASI TN011 (2020).</w:t>
      </w:r>
    </w:p>
    <w:bookmarkEnd w:id="48"/>
    <w:bookmarkStart w:name="f-10153-10153.5" w:id="50"/>
    <w:p>
      <w:pPr>
        <w:pStyle w:val="Heading3"/>
      </w:pPr>
      <w:bookmarkStart w:name="h-10153-10153.5" w:id="51"/>
      <w:r>
        <w:rPr/>
        <w:t xml:space="preserve">MANUFACTURER'S DOCUMENTS</w:t>
      </w:r>
      <w:bookmarkEnd w:id="51"/>
    </w:p>
    <w:bookmarkEnd w:id="50"/>
    <w:bookmarkStart w:name="f-10153-10153.4" w:id="52"/>
    <w:p>
      <w:pPr>
        <w:pStyle w:val="Heading4"/>
      </w:pPr>
      <w:bookmarkStart w:name="h-10153-10153.4" w:id="53"/>
      <w:r>
        <w:rPr/>
        <w:t xml:space="preserve">Technical manual</w:t>
      </w:r>
      <w:bookmarkEnd w:id="53"/>
    </w:p>
    <w:p>
      <w:pPr>
        <w:pStyle w:val="Body Text"/>
      </w:pPr>
      <w:r>
        <w:rPr/>
        <w:t xml:space="preserve">SlimDek 210 deep deck composite formwork: KingFlor Manual (2020) </w:t>
      </w:r>
      <w:r>
        <w:fldChar w:fldCharType="begin"/>
      </w:r>
      <w:r>
        <w:instrText xml:space="preserve"> HYPERLINK "https://specifying.fielders.com.au/downloads" </w:instrText>
      </w:r>
      <w:r>
        <w:fldChar w:fldCharType="separate"/>
      </w:r>
      <w:r>
        <w:rPr>
          <w:rStyle w:val="Hyperlink"/>
        </w:rPr>
        <w:t>specifying.fielders.com.au/downloads</w:t>
      </w:r>
      <w:r>
        <w:fldChar w:fldCharType="end"/>
      </w:r>
      <w:r>
        <w:rPr/>
        <w:t xml:space="preserve">.</w:t>
      </w:r>
    </w:p>
    <w:p>
      <w:pPr>
        <w:pStyle w:val="Body Text"/>
      </w:pPr>
      <w:r>
        <w:rPr/>
        <w:t xml:space="preserve">ASB / ASB(UC) Asymmetric steel beam (ASB): </w:t>
      </w:r>
      <w:r>
        <w:rPr>
          <w:i/>
        </w:rPr>
        <w:t xml:space="preserve">Fielders Fact File F.3.5 (2018)</w:t>
      </w:r>
      <w:r>
        <w:rPr/>
        <w:t xml:space="preserve"> datasheet.</w:t>
      </w:r>
    </w:p>
    <w:p>
      <w:pPr>
        <w:pStyle w:val="Instructions"/>
      </w:pPr>
      <w:r>
        <w:rPr/>
        <w:t xml:space="preserve">Contact Fielders for a copy of the datasheet on the ASB / ASB(UC) required for SlimFlor construction.</w:t>
      </w:r>
    </w:p>
    <w:bookmarkEnd w:id="52"/>
    <w:bookmarkStart w:name="f-10153-9" w:id="54"/>
    <w:p>
      <w:pPr>
        <w:pStyle w:val="Heading3"/>
      </w:pPr>
      <w:bookmarkStart w:name="h-10153-9" w:id="55"/>
      <w:r>
        <w:rPr/>
        <w:t xml:space="preserve">INTERPRETATION</w:t>
      </w:r>
      <w:bookmarkEnd w:id="55"/>
    </w:p>
    <w:bookmarkEnd w:id="54"/>
    <w:bookmarkStart w:name="f-10153-10" w:id="56"/>
    <w:p>
      <w:pPr>
        <w:pStyle w:val="Heading4"/>
      </w:pPr>
      <w:bookmarkStart w:name="h-10153-10" w:id="57"/>
      <w:r>
        <w:rPr/>
        <w:t xml:space="preserve">Abbreviations</w:t>
      </w:r>
      <w:bookmarkEnd w:id="57"/>
    </w:p>
    <w:p>
      <w:pPr>
        <w:pStyle w:val="Body Text"/>
      </w:pPr>
      <w:r>
        <w:rPr/>
        <w:t xml:space="preserve">General: For the purposes of this worksection, the following abbreviations apply:</w:t>
      </w:r>
    </w:p>
    <w:p>
      <w:pPr>
        <w:pStyle w:val="NormalIndent"/>
      </w:pPr>
      <w:r>
        <w:rPr/>
        <w:t xml:space="preserve">AESS: Architecturally Exposed Structural Steel.</w:t>
      </w:r>
    </w:p>
    <w:p>
      <w:pPr>
        <w:pStyle w:val="NormalIndent"/>
      </w:pPr>
      <w:r>
        <w:rPr/>
        <w:t xml:space="preserve">ASB: Asymmetric Steel Beam.</w:t>
      </w:r>
    </w:p>
    <w:p>
      <w:pPr>
        <w:pStyle w:val="NormalIndent"/>
      </w:pPr>
      <w:r>
        <w:rPr/>
        <w:t xml:space="preserve">CC: Construction Category.</w:t>
      </w:r>
    </w:p>
    <w:p>
      <w:pPr>
        <w:pStyle w:val="NormalIndent"/>
      </w:pPr>
      <w:r>
        <w:rPr/>
        <w:t xml:space="preserve">NDE: Non-Destructive Examination.</w:t>
      </w:r>
    </w:p>
    <w:p>
      <w:pPr>
        <w:pStyle w:val="Instructions"/>
      </w:pPr>
      <w:r>
        <w:rPr/>
        <w:t xml:space="preserve">Edit the </w:t>
      </w:r>
      <w:r>
        <w:rPr>
          <w:b/>
        </w:rPr>
        <w:t xml:space="preserve">Abbreviations</w:t>
      </w:r>
      <w:r>
        <w:rPr/>
        <w:t xml:space="preserve"> subclause to suit the project or delete if not required. List alphabetically.</w:t>
      </w:r>
    </w:p>
    <w:bookmarkEnd w:id="56"/>
    <w:bookmarkStart w:name="f-10153-11" w:id="58"/>
    <w:p>
      <w:pPr>
        <w:pStyle w:val="Heading4"/>
      </w:pPr>
      <w:bookmarkStart w:name="h-10153-11" w:id="59"/>
      <w:r>
        <w:rPr/>
        <w:t xml:space="preserve">Definitions</w:t>
      </w:r>
      <w:bookmarkEnd w:id="59"/>
    </w:p>
    <w:p>
      <w:pPr>
        <w:pStyle w:val="Body Text"/>
      </w:pPr>
      <w:r>
        <w:rPr/>
        <w:t xml:space="preserve">General: For the purposes of this worksection, the definitions given in AS/NZS 5131 (2016) apply.</w:t>
      </w:r>
    </w:p>
    <w:bookmarkStart w:name="f-7220" w:id="60"/>
    <w:bookmarkStart w:name="f-7220-1" w:id="61"/>
    <w:p>
      <w:pPr>
        <w:pStyle w:val="Instructions"/>
      </w:pPr>
      <w:r>
        <w:rPr/>
        <w:t xml:space="preserve">Edit the </w:t>
      </w:r>
      <w:r>
        <w:rPr>
          <w:b/>
        </w:rPr>
        <w:t xml:space="preserve">Definitions</w:t>
      </w:r>
      <w:r>
        <w:rPr/>
        <w:t xml:space="preserve"> subclause to suit the project or delete if not required. List alphabetically.</w:t>
      </w:r>
    </w:p>
    <w:bookmarkEnd w:id="61"/>
    <w:bookmarkEnd w:id="60"/>
    <w:bookmarkEnd w:id="58"/>
    <w:bookmarkStart w:name="f-10153-12" w:id="62"/>
    <w:p>
      <w:pPr>
        <w:pStyle w:val="Heading3"/>
      </w:pPr>
      <w:bookmarkStart w:name="h-10153-12" w:id="63"/>
      <w:r>
        <w:rPr/>
        <w:t xml:space="preserve">TOLERANCES</w:t>
      </w:r>
      <w:bookmarkEnd w:id="63"/>
    </w:p>
    <w:bookmarkEnd w:id="62"/>
    <w:bookmarkStart w:name="f-10153-13" w:id="64"/>
    <w:p>
      <w:pPr>
        <w:pStyle w:val="Heading4"/>
      </w:pPr>
      <w:bookmarkStart w:name="h-10153-13" w:id="65"/>
      <w:r>
        <w:rPr/>
        <w:t xml:space="preserve">General</w:t>
      </w:r>
      <w:bookmarkEnd w:id="65"/>
    </w:p>
    <w:p>
      <w:pPr>
        <w:pStyle w:val="Body Text"/>
      </w:pPr>
      <w:r>
        <w:rPr/>
        <w:t xml:space="preserve">Requirement: To AS/NZS 5131 (2016) Section 12 and Appendix F.</w:t>
      </w:r>
    </w:p>
    <w:p>
      <w:pPr>
        <w:pStyle w:val="Instructions"/>
      </w:pPr>
      <w:r>
        <w:rPr/>
        <w:t xml:space="preserve">Edit if departing from tolerances described in AS/NZS 5131 (2016) Appendix F.</w:t>
      </w:r>
    </w:p>
    <w:p>
      <w:pPr>
        <w:pStyle w:val="Body Text"/>
      </w:pPr>
      <w:r>
        <w:rPr/>
        <w:t xml:space="preserve">Tolerance class: 1.</w:t>
      </w:r>
    </w:p>
    <w:p>
      <w:pPr>
        <w:pStyle w:val="Instructions"/>
      </w:pPr>
      <w:r>
        <w:rPr/>
        <w:t xml:space="preserve">Change the default to Class 2 if required.</w:t>
      </w:r>
    </w:p>
    <w:p>
      <w:pPr>
        <w:pStyle w:val="Instructions"/>
      </w:pPr>
      <w:r>
        <w:rPr/>
        <w:t xml:space="preserve">Class 1 tolerances are the default requirement in AS/NZS 5131 (2016) and should be acceptable for most steelwork construction.</w:t>
      </w:r>
    </w:p>
    <w:p>
      <w:pPr>
        <w:pStyle w:val="Instructions"/>
      </w:pPr>
      <w:r>
        <w:rPr/>
        <w:t xml:space="preserve">Class 2 tolerances are tighter and might be considered for higher specification work. AS/NZS 5131 (2016) recommends Class 2 should be considered for CC3 and CC4 structures or components.</w:t>
      </w:r>
    </w:p>
    <w:p>
      <w:pPr>
        <w:pStyle w:val="Body Text"/>
      </w:pPr>
      <w:r>
        <w:rPr/>
        <w:t xml:space="preserve">AESS: As documented.</w:t>
      </w:r>
    </w:p>
    <w:p>
      <w:pPr>
        <w:pStyle w:val="Instructions"/>
      </w:pPr>
      <w:r>
        <w:rPr/>
        <w:t xml:space="preserve">AESS may require more stringent tolerances. Document the required tolerances in the </w:t>
      </w:r>
      <w:r>
        <w:rPr>
          <w:b/>
        </w:rPr>
        <w:t xml:space="preserve">AESS schedule</w:t>
      </w:r>
      <w:r>
        <w:rPr/>
        <w:t xml:space="preserve">.</w:t>
      </w:r>
    </w:p>
    <w:bookmarkEnd w:id="64"/>
    <w:bookmarkStart w:name="f-10153-14" w:id="66"/>
    <w:p>
      <w:pPr>
        <w:pStyle w:val="Heading3"/>
      </w:pPr>
      <w:bookmarkStart w:name="h-10153-14" w:id="67"/>
      <w:r>
        <w:rPr/>
        <w:t xml:space="preserve">SUBMISSIONS</w:t>
      </w:r>
      <w:bookmarkEnd w:id="67"/>
    </w:p>
    <w:bookmarkEnd w:id="66"/>
    <w:bookmarkStart w:name="f-10153-15" w:id="68"/>
    <w:p>
      <w:pPr>
        <w:pStyle w:val="OptionalHeading4"/>
      </w:pPr>
      <w:bookmarkStart w:name="h-10153-15" w:id="69"/>
      <w:r>
        <w:rPr/>
        <w:t xml:space="preserve">Design documentation</w:t>
      </w:r>
      <w:bookmarkEnd w:id="69"/>
    </w:p>
    <w:p>
      <w:pPr>
        <w:pStyle w:val="OptionalNormal"/>
      </w:pPr>
      <w:r>
        <w:rPr/>
        <w:t xml:space="preserve">Adequacy of structure: Submit calculations to verify the adequacy of the structure to sustain loads and/or procedures, which may be imposed during construction.</w:t>
      </w:r>
    </w:p>
    <w:p>
      <w:pPr>
        <w:pStyle w:val="Instructions"/>
      </w:pPr>
      <w:r>
        <w:rPr/>
        <w:t xml:space="preserve">If calculations to justify the adequacy of the structure during construction are necessary or are a requirement of the Erection sequence methodology (ESM), include this </w:t>
      </w:r>
      <w:r>
        <w:rPr>
          <w:i/>
        </w:rPr>
        <w:t xml:space="preserve">Optional</w:t>
      </w:r>
      <w:r>
        <w:rPr/>
        <w:t xml:space="preserve"> style text by changing to </w:t>
      </w:r>
      <w:r>
        <w:rPr>
          <w:i/>
        </w:rPr>
        <w:t xml:space="preserve">Normal</w:t>
      </w:r>
      <w:r>
        <w:rPr/>
        <w:t xml:space="preserve"> style text.</w:t>
      </w:r>
    </w:p>
    <w:bookmarkEnd w:id="68"/>
    <w:bookmarkStart w:name="f-10153-16" w:id="70"/>
    <w:p>
      <w:pPr>
        <w:pStyle w:val="Heading4"/>
      </w:pPr>
      <w:bookmarkStart w:name="h-10153-16" w:id="71"/>
      <w:r>
        <w:rPr/>
        <w:t xml:space="preserve">Execution details</w:t>
      </w:r>
      <w:bookmarkEnd w:id="71"/>
    </w:p>
    <w:p>
      <w:pPr>
        <w:pStyle w:val="Body Text"/>
      </w:pPr>
      <w:r>
        <w:rPr/>
        <w:t xml:space="preserve">Anchor bolts: If anchor bolts do not meet documented location tolerances, submit proposals for rectification before proceeding.</w:t>
      </w:r>
    </w:p>
    <w:p>
      <w:pPr>
        <w:pStyle w:val="Body Text"/>
      </w:pPr>
      <w:r>
        <w:rPr/>
        <w:t xml:space="preserve">Bolting connections: For connections not documented, submit proposals.</w:t>
      </w:r>
    </w:p>
    <w:p>
      <w:pPr>
        <w:pStyle w:val="Body Text"/>
      </w:pPr>
      <w:r>
        <w:rPr/>
        <w:t xml:space="preserve">Bolt tensioning procedure: Submit details of procedure, equipment to be used and calibration of the process.</w:t>
      </w:r>
    </w:p>
    <w:p>
      <w:pPr>
        <w:pStyle w:val="Instructions"/>
      </w:pPr>
      <w:r>
        <w:rPr/>
        <w:t xml:space="preserve">Refer to AS/NZS 5131 (2016) clause 8.5 on the tensioning of high-strength bolts.</w:t>
      </w:r>
    </w:p>
    <w:p>
      <w:pPr>
        <w:pStyle w:val="OptionalNormal"/>
      </w:pPr>
      <w:r>
        <w:rPr/>
        <w:t xml:space="preserve">Erection sequence methodology (ESM): Submit ESM conforming to AS/NZS 5131 (2016) clause 11.5.1.</w:t>
      </w:r>
    </w:p>
    <w:p>
      <w:pPr>
        <w:pStyle w:val="Instructions"/>
      </w:pPr>
      <w:r>
        <w:rPr/>
        <w:t xml:space="preserve">If an ESM is required, include this </w:t>
      </w:r>
      <w:r>
        <w:rPr>
          <w:i/>
        </w:rPr>
        <w:t xml:space="preserve">Optiona</w:t>
      </w:r>
      <w:r>
        <w:rPr/>
        <w:t xml:space="preserve">l style text by changing to </w:t>
      </w:r>
      <w:r>
        <w:rPr>
          <w:i/>
        </w:rPr>
        <w:t xml:space="preserve">Normal</w:t>
      </w:r>
      <w:r>
        <w:rPr/>
        <w:t xml:space="preserve"> style text. ESM’s would usually be required for high risk construction work or work of an unusual or atypical nature, where a risk assessment has identified the need for an ESM.</w:t>
      </w:r>
    </w:p>
    <w:p>
      <w:pPr>
        <w:pStyle w:val="Instructions"/>
      </w:pPr>
      <w:r>
        <w:rPr/>
        <w:t xml:space="preserve">Refer to the </w:t>
      </w:r>
      <w:r>
        <w:rPr>
          <w:i/>
        </w:rPr>
        <w:t xml:space="preserve">ASI Practical guide (2016) to planning the safe erection of steel structures</w:t>
      </w:r>
      <w:r>
        <w:rPr/>
        <w:t xml:space="preserve"> for further information.</w:t>
      </w:r>
    </w:p>
    <w:p>
      <w:pPr>
        <w:pStyle w:val="Body Text"/>
      </w:pPr>
      <w:r>
        <w:rPr/>
        <w:t xml:space="preserve">Site base plate holing: If hand cutting of bolt holes in column base plates are required, submit details.</w:t>
      </w:r>
    </w:p>
    <w:p>
      <w:pPr>
        <w:pStyle w:val="Instructions"/>
      </w:pPr>
      <w:r>
        <w:rPr/>
        <w:t xml:space="preserve">AS/NZS 5131 (2016) clause 6.7.1 permits hand flame cutting of bolt holes only as site rectification of base plates.</w:t>
      </w:r>
    </w:p>
    <w:p>
      <w:pPr>
        <w:pStyle w:val="Body Text"/>
      </w:pPr>
      <w:r>
        <w:rPr/>
        <w:t xml:space="preserve">Purlins and girts: If purlins and girts support components other than roofing or cladding, submit details.</w:t>
      </w:r>
    </w:p>
    <w:p>
      <w:pPr>
        <w:pStyle w:val="Instructions"/>
      </w:pPr>
      <w:r>
        <w:rPr/>
        <w:t xml:space="preserve">All fixing to purlins for the suspension of ducts and services etc. is through the web of the section.</w:t>
      </w:r>
    </w:p>
    <w:p>
      <w:pPr>
        <w:pStyle w:val="Body Text"/>
      </w:pPr>
      <w:r>
        <w:rPr/>
        <w:t xml:space="preserve">Site modifications: Submit details of proposed on-site modifications or rectifications to any steel member, connection component, mechanical fastener, weld or corrosion protection.</w:t>
      </w:r>
    </w:p>
    <w:p>
      <w:pPr>
        <w:pStyle w:val="Instructions"/>
      </w:pPr>
      <w:r>
        <w:rPr/>
        <w:t xml:space="preserve">Refer to AS/NZS 5131 (2016) Section 14.</w:t>
      </w:r>
    </w:p>
    <w:p>
      <w:pPr>
        <w:pStyle w:val="Body Text"/>
      </w:pPr>
      <w:r>
        <w:rPr/>
        <w:t xml:space="preserve">Splices: If variations to documented splice locations or additional splices are proposed, submit details.</w:t>
      </w:r>
    </w:p>
    <w:p>
      <w:pPr>
        <w:pStyle w:val="Body Text"/>
      </w:pPr>
      <w:r>
        <w:rPr/>
        <w:t xml:space="preserve">Temporary connections or attachments: If not documented, submit details.</w:t>
      </w:r>
    </w:p>
    <w:p>
      <w:pPr>
        <w:pStyle w:val="Body Text"/>
      </w:pPr>
      <w:r>
        <w:rPr/>
        <w:t xml:space="preserve">Undocumented weld types: Submit proposals for weld type and electrodes.</w:t>
      </w:r>
    </w:p>
    <w:p>
      <w:pPr>
        <w:pStyle w:val="Body Text"/>
      </w:pPr>
      <w:r>
        <w:rPr/>
        <w:t xml:space="preserve">Welding plan: Submit a welding plan to AS/NZS 5131 (2016) clause 7.2.</w:t>
      </w:r>
    </w:p>
    <w:p>
      <w:pPr>
        <w:pStyle w:val="Instructions"/>
      </w:pPr>
      <w:r>
        <w:rPr/>
        <w:t xml:space="preserve">AS/NZS 5131 (2016) clause 7.2 refers to the requirements of a welding procedure specification, a template for which is included in AS/NZS 1554.1 (2014) Appendix C.</w:t>
      </w:r>
    </w:p>
    <w:p>
      <w:pPr>
        <w:pStyle w:val="Body Text"/>
      </w:pPr>
      <w:r>
        <w:rPr/>
        <w:t xml:space="preserve">Work method statement: Before any erection work commences, submit a work method statement to AS/NZS 5131 (2016) clause 11.2.3.</w:t>
      </w:r>
    </w:p>
    <w:p>
      <w:pPr>
        <w:pStyle w:val="Instructions"/>
      </w:pPr>
      <w:r>
        <w:rPr/>
        <w:t xml:space="preserve">If proof of registration of all lifting equipment used on site is required to be available for inspection at all times, include this requirement. Refer to AS/NZS 5131 (2016) clause 11.2.5.</w:t>
      </w:r>
    </w:p>
    <w:bookmarkEnd w:id="70"/>
    <w:bookmarkStart w:name="f-10153-17" w:id="72"/>
    <w:p>
      <w:pPr>
        <w:pStyle w:val="Heading4"/>
      </w:pPr>
      <w:bookmarkStart w:name="h-10153-17" w:id="73"/>
      <w:r>
        <w:rPr/>
        <w:t xml:space="preserve">Fabrication details</w:t>
      </w:r>
      <w:bookmarkEnd w:id="73"/>
    </w:p>
    <w:p>
      <w:pPr>
        <w:pStyle w:val="Body Text"/>
      </w:pPr>
      <w:r>
        <w:rPr/>
        <w:t xml:space="preserve">Distortions: Submit proposals for the following:</w:t>
      </w:r>
    </w:p>
    <w:p>
      <w:pPr>
        <w:pStyle w:val="NormalIndent"/>
      </w:pPr>
      <w:r>
        <w:rPr/>
        <w:t xml:space="preserve">Preventing or minimising distortion of galvanized components, welded components or welded and galvanized components.</w:t>
      </w:r>
    </w:p>
    <w:p>
      <w:pPr>
        <w:pStyle w:val="NormalIndent"/>
      </w:pPr>
      <w:r>
        <w:rPr/>
        <w:t xml:space="preserve">Restoration to the designed shape.</w:t>
      </w:r>
    </w:p>
    <w:p>
      <w:pPr>
        <w:pStyle w:val="Body Text"/>
      </w:pPr>
      <w:r>
        <w:rPr/>
        <w:t xml:space="preserve">Identification marks: If members and/or connections will be exposed to view, submit details of proposed marking.</w:t>
      </w:r>
    </w:p>
    <w:p>
      <w:pPr>
        <w:pStyle w:val="Body Text"/>
      </w:pPr>
      <w:r>
        <w:rPr/>
        <w:t xml:space="preserve">Program: Submit a fabrication program showing the proposed sequence of operations and time required.</w:t>
      </w:r>
    </w:p>
    <w:p>
      <w:pPr>
        <w:pStyle w:val="Instructions"/>
      </w:pPr>
      <w:r>
        <w:rPr/>
        <w:t xml:space="preserve">Refer to AS/NZS 5131 (2016) Section 6 for fabrication requirements.</w:t>
      </w:r>
    </w:p>
    <w:bookmarkEnd w:id="72"/>
    <w:bookmarkStart w:name="f-10153-18" w:id="74"/>
    <w:p>
      <w:pPr>
        <w:pStyle w:val="Heading4"/>
      </w:pPr>
      <w:bookmarkStart w:name="h-10153-18" w:id="75"/>
      <w:r>
        <w:rPr/>
        <w:t xml:space="preserve">Products and materials</w:t>
      </w:r>
      <w:bookmarkEnd w:id="75"/>
    </w:p>
    <w:p>
      <w:pPr>
        <w:pStyle w:val="Body Text"/>
      </w:pPr>
      <w:r>
        <w:rPr/>
        <w:t xml:space="preserve">Steel members and sections: Submit test reports or test certificates conforming to AS 4100 (2020) clause 2.2.2.</w:t>
      </w:r>
    </w:p>
    <w:p>
      <w:pPr>
        <w:pStyle w:val="Instructions"/>
      </w:pPr>
      <w:r>
        <w:rPr/>
        <w:t xml:space="preserve">AS/NZS 5131 (2016) clause 4.6.2 allows for a Supplier Declaration of Conformity (SDoC) to be provided. If required, include requirements for SDoC.</w:t>
      </w:r>
    </w:p>
    <w:p>
      <w:pPr>
        <w:pStyle w:val="Instructions"/>
      </w:pPr>
      <w:r>
        <w:rPr/>
        <w:t xml:space="preserve">Steelwork designed to AS 4100 (2020) and conforming to the NCC requires the use of steel conforming to Australian Standards, otherwise the requirements of AS 4100 (2020) clause 2.2.3 apply.</w:t>
      </w:r>
    </w:p>
    <w:p>
      <w:pPr>
        <w:pStyle w:val="Instructions"/>
      </w:pPr>
      <w:r>
        <w:rPr/>
        <w:t xml:space="preserve">AS/NZS 1163 (2016) defines the requirements for cold-formed hollow sections.</w:t>
      </w:r>
    </w:p>
    <w:p>
      <w:pPr>
        <w:pStyle w:val="Instructions"/>
      </w:pPr>
      <w:r>
        <w:rPr/>
        <w:t xml:space="preserve">AS/NZS 1594 (2002) defines the requirements for hot-rolled steel flat products.</w:t>
      </w:r>
    </w:p>
    <w:p>
      <w:pPr>
        <w:pStyle w:val="Instructions"/>
      </w:pPr>
      <w:r>
        <w:rPr/>
        <w:t xml:space="preserve">AS 3597 (2008) defines the requirements for quenched and tempered steel plates.</w:t>
      </w:r>
    </w:p>
    <w:p>
      <w:pPr>
        <w:pStyle w:val="Instructions"/>
      </w:pPr>
      <w:r>
        <w:rPr/>
        <w:t xml:space="preserve">AS/NZS 3678 (2016) defines the requirements for hot-rolled steel plates.</w:t>
      </w:r>
    </w:p>
    <w:p>
      <w:pPr>
        <w:pStyle w:val="Instructions"/>
      </w:pPr>
      <w:r>
        <w:rPr/>
        <w:t xml:space="preserve">AS/NZS 3679.1 (2016) defines the requirements for hot-rolled steel bars and sections.</w:t>
      </w:r>
    </w:p>
    <w:p>
      <w:pPr>
        <w:pStyle w:val="Instructions"/>
      </w:pPr>
      <w:r>
        <w:rPr/>
        <w:t xml:space="preserve">AS/NZS 3679.2 (2016) defines the requirements for welded I sections.</w:t>
      </w:r>
    </w:p>
    <w:p>
      <w:pPr>
        <w:pStyle w:val="Instructions"/>
      </w:pPr>
      <w:r>
        <w:rPr/>
        <w:t xml:space="preserve">Refer to ASI TN005 (2020) and ASI TN007 (2020) for further guidance on conforming steel.</w:t>
      </w:r>
    </w:p>
    <w:p>
      <w:pPr>
        <w:pStyle w:val="Instructions"/>
      </w:pPr>
      <w:r>
        <w:rPr/>
        <w:t xml:space="preserve">Refer to ASI TN015 (2021) for guidance on ascertaining the compliance of structural steel.</w:t>
      </w:r>
    </w:p>
    <w:p>
      <w:pPr>
        <w:pStyle w:val="Body Text"/>
      </w:pPr>
      <w:r>
        <w:rPr/>
        <w:t xml:space="preserve">Bolts, nuts and washers: Submit test reports or test certificates conforming to AS/NZS 1252.1 (2016) Section 6.</w:t>
      </w:r>
    </w:p>
    <w:p>
      <w:pPr>
        <w:pStyle w:val="Body Text"/>
      </w:pPr>
      <w:r>
        <w:rPr/>
        <w:t xml:space="preserve">Verification testing of bolt assemblies: Submit test reports or certificates conforming to AS/NZS 1252.2 (2016) Section 2, together with the Supplier Declaration of Conformity (SDoC).</w:t>
      </w:r>
    </w:p>
    <w:p>
      <w:pPr>
        <w:pStyle w:val="Instructions"/>
      </w:pPr>
      <w:r>
        <w:rPr/>
        <w:t xml:space="preserve">Verification testing is undertaken by the supplier who first puts the product into the market in Australia or New Zealand. Attestation of compliance to AS/NZS 1252.2 (2016) takes the form of a SDoC, refer to AS/NZS 1252.2 (2016) clause 3.2.</w:t>
      </w:r>
    </w:p>
    <w:p>
      <w:pPr>
        <w:pStyle w:val="Instructions"/>
      </w:pPr>
      <w:r>
        <w:rPr/>
        <w:t xml:space="preserve">Note: The verification testing is additional to the testing required by AS/NZS 1252.1 (2016). If bolts not verified to AS/NZS 1252.2 (2016) are permissible, or verified bolts are not available, Appendix I of ASI TN001 (2019) recommends a batch testing regime, to be undertaken by the bolt supplier. Edit text above to suit.</w:t>
      </w:r>
    </w:p>
    <w:p>
      <w:pPr>
        <w:pStyle w:val="Instructions"/>
      </w:pPr>
      <w:r>
        <w:rPr/>
        <w:t xml:space="preserve">As all high-strength bolt assemblies are imported, these are essential requirements.</w:t>
      </w:r>
    </w:p>
    <w:p>
      <w:pPr>
        <w:pStyle w:val="Instructions"/>
      </w:pPr>
      <w:r>
        <w:rPr/>
        <w:t xml:space="preserve">ASI TN001 (2019) deals comprehensively with the relevant issues.</w:t>
      </w:r>
    </w:p>
    <w:p>
      <w:pPr>
        <w:pStyle w:val="Body Text"/>
      </w:pPr>
      <w:r>
        <w:rPr/>
        <w:t xml:space="preserve">Anchor bolts: If anchors, other than those documented, are required or proposed for supporting or fixing structural steel, submit evidence of the anchor capacity to carry the load.</w:t>
      </w:r>
    </w:p>
    <w:p>
      <w:pPr>
        <w:pStyle w:val="Body Text"/>
      </w:pPr>
      <w:r>
        <w:rPr/>
        <w:t xml:space="preserve">Substitution: If alternative sections or connections are proposed, submit details.</w:t>
      </w:r>
    </w:p>
    <w:bookmarkEnd w:id="74"/>
    <w:bookmarkStart w:name="f-10153-19" w:id="76"/>
    <w:p>
      <w:pPr>
        <w:pStyle w:val="Heading4"/>
      </w:pPr>
      <w:bookmarkStart w:name="h-10153-19" w:id="77"/>
      <w:r>
        <w:rPr/>
        <w:t xml:space="preserve">Records</w:t>
      </w:r>
      <w:bookmarkEnd w:id="77"/>
    </w:p>
    <w:p>
      <w:pPr>
        <w:pStyle w:val="Body Text"/>
      </w:pPr>
      <w:r>
        <w:rPr/>
        <w:t xml:space="preserve">Survey: Submit survey of erected structural steel to verify components have been installed as documented.</w:t>
      </w:r>
    </w:p>
    <w:p>
      <w:pPr>
        <w:pStyle w:val="Instructions"/>
      </w:pPr>
      <w:r>
        <w:rPr/>
        <w:t xml:space="preserve">Periodic surveys may be required for the project. If so, include here project stages where survey submissions are required.</w:t>
      </w:r>
    </w:p>
    <w:p>
      <w:pPr>
        <w:pStyle w:val="Instructions"/>
      </w:pPr>
      <w:r>
        <w:rPr/>
        <w:t xml:space="preserve">If a certificate from a licensed surveyor is required, document here.</w:t>
      </w:r>
    </w:p>
    <w:p>
      <w:pPr>
        <w:pStyle w:val="Body Text"/>
      </w:pPr>
      <w:r>
        <w:rPr/>
        <w:t xml:space="preserve">Drawings: Submit as-built structural drawings, upon completion.</w:t>
      </w:r>
    </w:p>
    <w:bookmarkEnd w:id="76"/>
    <w:bookmarkStart w:name="f-10153-20" w:id="78"/>
    <w:bookmarkStart w:name="f-18073" w:id="79"/>
    <w:bookmarkStart w:name="f-18073-1" w:id="80"/>
    <w:p>
      <w:pPr>
        <w:pStyle w:val="Heading4"/>
      </w:pPr>
      <w:bookmarkStart w:name="h-18073-1" w:id="81"/>
      <w:r>
        <w:rPr/>
        <w:t xml:space="preserve">Samples</w:t>
      </w:r>
      <w:bookmarkEnd w:id="81"/>
    </w:p>
    <w:p>
      <w:pPr>
        <w:pStyle w:val="Body Text"/>
      </w:pPr>
      <w:r>
        <w:rPr/>
        <w:t xml:space="preserve">Requirement: Submit samples to PRODUCTS, </w:t>
      </w:r>
      <w:r>
        <w:rPr>
          <w:b/>
        </w:rPr>
        <w:t xml:space="preserve">GENERAL</w:t>
      </w:r>
      <w:r>
        <w:rPr/>
        <w:t xml:space="preserve">, </w:t>
      </w:r>
      <w:r>
        <w:rPr>
          <w:b/>
        </w:rPr>
        <w:t xml:space="preserve">Samples</w:t>
      </w:r>
      <w:r>
        <w:rPr/>
        <w:t xml:space="preserve">.</w:t>
      </w:r>
    </w:p>
    <w:bookmarkEnd w:id="80"/>
    <w:bookmarkEnd w:id="79"/>
    <w:bookmarkEnd w:id="78"/>
    <w:bookmarkStart w:name="f-10153-21" w:id="82"/>
    <w:p>
      <w:pPr>
        <w:pStyle w:val="Heading4"/>
      </w:pPr>
      <w:bookmarkStart w:name="h-10153-21" w:id="83"/>
      <w:r>
        <w:rPr/>
        <w:t xml:space="preserve">Shop detail documentation</w:t>
      </w:r>
      <w:bookmarkEnd w:id="83"/>
    </w:p>
    <w:p>
      <w:pPr>
        <w:pStyle w:val="Body Text"/>
      </w:pPr>
      <w:r>
        <w:rPr/>
        <w:t xml:space="preserve">General: Submit shop detail documentation to a scale that best describes the detail, conforming to AS/NZS 5131 (2016) clause 4.4.</w:t>
      </w:r>
    </w:p>
    <w:p>
      <w:pPr>
        <w:pStyle w:val="Instructions"/>
      </w:pPr>
      <w:r>
        <w:rPr/>
        <w:t xml:space="preserve">If erection drawings are to be prepared in addition to shop detail documentation, include requirements here. Refer to AS/NZS 5131 (2016) clause 11.7.</w:t>
      </w:r>
    </w:p>
    <w:p>
      <w:pPr>
        <w:pStyle w:val="Instructions"/>
      </w:pPr>
      <w:r>
        <w:rPr/>
        <w:t xml:space="preserve">Document any restrictions on fabrication methods arising from brittle fracture considerations set out in AS 4100 (2020) Section 10.</w:t>
      </w:r>
    </w:p>
    <w:p>
      <w:pPr>
        <w:pStyle w:val="Instructions"/>
      </w:pPr>
      <w:r>
        <w:rPr/>
        <w:t xml:space="preserve">See also ASI TN009 (2020) for guidelines on information to include in the documentation of structural steel.</w:t>
      </w:r>
    </w:p>
    <w:p>
      <w:pPr>
        <w:pStyle w:val="Prompt"/>
      </w:pPr>
      <w:r>
        <w:rPr/>
        <w:t xml:space="preserve">Drawing format: </w:t>
      </w:r>
      <w:r>
        <w:fldChar w:fldCharType="begin"/>
        <w:instrText xml:space="preserve"> MACROBUTTON  ac_OnHelp [complete/delete]</w:instrText>
        <w:fldChar w:fldCharType="separate"/>
        <w:t xml:space="preserve"> </w:t>
        <w:fldChar w:fldCharType="end"/>
      </w:r>
    </w:p>
    <w:p>
      <w:pPr>
        <w:pStyle w:val="Instructions"/>
      </w:pPr>
      <w:r>
        <w:rPr/>
        <w:t xml:space="preserve">Nominate the format for the shop detail documentation, e.g. 2D or 3D CAD, pdf, etc. Also, nominate if hard copy or digital copy only is required.</w:t>
      </w:r>
    </w:p>
    <w:p>
      <w:pPr>
        <w:pStyle w:val="Instructions"/>
      </w:pPr>
      <w:r>
        <w:rPr/>
        <w:t xml:space="preserve">Alternatively, shop detail documentation may be in the form of a building information model, refer to AS/NZS 5131 (2016) clause 4.3.</w:t>
      </w:r>
    </w:p>
    <w:p>
      <w:pPr>
        <w:pStyle w:val="Prompt"/>
      </w:pPr>
      <w:r>
        <w:rPr/>
        <w:t xml:space="preserve">Review of shop detail documentation: </w:t>
      </w:r>
      <w:r>
        <w:fldChar w:fldCharType="begin"/>
        <w:instrText xml:space="preserve"> MACROBUTTON  ac_OnHelp [complete/delete]</w:instrText>
        <w:fldChar w:fldCharType="separate"/>
        <w:t xml:space="preserve"> </w:t>
        <w:fldChar w:fldCharType="end"/>
      </w:r>
    </w:p>
    <w:p>
      <w:pPr>
        <w:pStyle w:val="Instructions"/>
      </w:pPr>
      <w:r>
        <w:rPr/>
        <w:t xml:space="preserve">Nominate the person(s)/organisation responsible for review of the shop documentation. Refer to AS/NZS 5131 (2016) clause 4.4.4.</w:t>
      </w:r>
    </w:p>
    <w:p>
      <w:pPr>
        <w:pStyle w:val="Body Text"/>
      </w:pPr>
      <w:r>
        <w:rPr/>
        <w:t xml:space="preserve">Fielders SlimFlor specific requirements: Include the following:</w:t>
      </w:r>
    </w:p>
    <w:p>
      <w:pPr>
        <w:pStyle w:val="NormalIndent"/>
      </w:pPr>
      <w:r>
        <w:rPr/>
        <w:t xml:space="preserve">Details of ASB / ASB(UC), including cross-sectional dimensions.</w:t>
      </w:r>
    </w:p>
    <w:p>
      <w:pPr>
        <w:pStyle w:val="NormalIndent"/>
      </w:pPr>
      <w:r>
        <w:rPr/>
        <w:t xml:space="preserve">Details of SlimDek 210 deck, including span direction and propping requirements.</w:t>
      </w:r>
    </w:p>
    <w:bookmarkEnd w:id="82"/>
    <w:bookmarkStart w:name="f-10153-22" w:id="84"/>
    <w:p>
      <w:pPr>
        <w:pStyle w:val="Heading4"/>
      </w:pPr>
      <w:bookmarkStart w:name="h-10153-22" w:id="85"/>
      <w:r>
        <w:rPr/>
        <w:t xml:space="preserve">Subcontractors</w:t>
      </w:r>
      <w:bookmarkEnd w:id="85"/>
    </w:p>
    <w:p>
      <w:pPr>
        <w:pStyle w:val="Body Text"/>
      </w:pPr>
      <w:r>
        <w:rPr/>
        <w:t xml:space="preserve">General: Submit names and contact details of proposed fabricator, detailer and installer.</w:t>
      </w:r>
    </w:p>
    <w:p>
      <w:pPr>
        <w:pStyle w:val="Instructions"/>
      </w:pPr>
      <w:r>
        <w:rPr/>
        <w:t xml:space="preserve">Refer to the ASI website (</w:t>
      </w:r>
      <w:r>
        <w:fldChar w:fldCharType="begin"/>
      </w:r>
      <w:r>
        <w:instrText xml:space="preserve"> HYPERLINK "https://www.steel.org.au/" </w:instrText>
      </w:r>
      <w:r>
        <w:fldChar w:fldCharType="separate"/>
      </w:r>
      <w:r>
        <w:rPr>
          <w:rStyle w:val="Hyperlink"/>
        </w:rPr>
        <w:t>www.steel.org.au</w:t>
      </w:r>
      <w:r>
        <w:fldChar w:fldCharType="end"/>
      </w:r>
      <w:r>
        <w:rPr/>
        <w:t xml:space="preserve">) for information on fabricators such as QA, size, and special facilities. Delete if supplier/installer details are not required.</w:t>
      </w:r>
    </w:p>
    <w:p>
      <w:pPr>
        <w:pStyle w:val="Body Text"/>
      </w:pPr>
      <w:r>
        <w:rPr/>
        <w:t xml:space="preserve">Responsibilities: Submit names and contact details corresponding to the person/organisation assigned responsibility to the items listed in AS/NZS 5131 (2016) Table B3.</w:t>
      </w:r>
    </w:p>
    <w:p>
      <w:pPr>
        <w:pStyle w:val="Instructions"/>
      </w:pPr>
      <w:r>
        <w:rPr/>
        <w:t xml:space="preserve">In some instances AS/NZS 5131 (2016) requires, and the ASI recommends, the submission of names, CV’s, qualifications, roles and responsibilities for all key personnel. If requirements greater than those defined in AS/NZS 5131 (2016) are a project requirement, document such requirements here.</w:t>
      </w:r>
    </w:p>
    <w:bookmarkEnd w:id="84"/>
    <w:bookmarkStart w:name="f-10153-23" w:id="86"/>
    <w:p>
      <w:pPr>
        <w:pStyle w:val="Heading4"/>
      </w:pPr>
      <w:bookmarkStart w:name="h-10153-23" w:id="87"/>
      <w:r>
        <w:rPr/>
        <w:t xml:space="preserve">Tests</w:t>
      </w:r>
      <w:bookmarkEnd w:id="87"/>
    </w:p>
    <w:bookmarkStart w:name="f-22788" w:id="88"/>
    <w:bookmarkStart w:name="f-22788-1" w:id="89"/>
    <w:p>
      <w:pPr>
        <w:pStyle w:val="Instructions"/>
      </w:pPr>
      <w:r>
        <w:rPr/>
        <w:t xml:space="preserve">Detail the tests required in EXECUTION and list the submissions required here.</w:t>
      </w:r>
    </w:p>
    <w:bookmarkEnd w:id="89"/>
    <w:bookmarkEnd w:id="88"/>
    <w:p>
      <w:pPr>
        <w:pStyle w:val="Body Text"/>
      </w:pPr>
      <w:r>
        <w:rPr/>
        <w:t xml:space="preserve">Requirement: Submit test results, as follows:</w:t>
      </w:r>
    </w:p>
    <w:p>
      <w:pPr>
        <w:pStyle w:val="NormalIndent"/>
      </w:pPr>
      <w:r>
        <w:rPr/>
        <w:t xml:space="preserve">Bars and sections: Non-destructive tests.</w:t>
      </w:r>
    </w:p>
    <w:p>
      <w:pPr>
        <w:pStyle w:val="NormalIndent"/>
      </w:pPr>
      <w:r>
        <w:rPr/>
        <w:t xml:space="preserve">Plates: Ultrasonic tests.</w:t>
      </w:r>
    </w:p>
    <w:p>
      <w:pPr>
        <w:pStyle w:val="NormalIndent"/>
      </w:pPr>
      <w:r>
        <w:rPr/>
        <w:t xml:space="preserve">Welds: Non-destructive examinations.</w:t>
      </w:r>
    </w:p>
    <w:p>
      <w:pPr>
        <w:pStyle w:val="Instructions"/>
      </w:pPr>
      <w:r>
        <w:rPr/>
        <w:t xml:space="preserve">If any other testing, such as impact or production testing of welds is required, include a requirement here to submit results.</w:t>
      </w:r>
    </w:p>
    <w:bookmarkEnd w:id="86"/>
    <w:bookmarkStart w:name="f-10153-10153.7" w:id="90"/>
    <w:bookmarkStart w:name="f-9452" w:id="91"/>
    <w:bookmarkStart w:name="f-9452-1" w:id="92"/>
    <w:p>
      <w:pPr>
        <w:pStyle w:val="Heading4"/>
      </w:pPr>
      <w:bookmarkStart w:name="h-9452-1" w:id="93"/>
      <w:r>
        <w:rPr/>
        <w:t xml:space="preserve">Warranties</w:t>
      </w:r>
      <w:bookmarkEnd w:id="93"/>
    </w:p>
    <w:p>
      <w:pPr>
        <w:pStyle w:val="Body Text"/>
      </w:pPr>
      <w:r>
        <w:rPr/>
        <w:t xml:space="preserve">Requirement: Submit warranties to </w:t>
      </w:r>
      <w:r>
        <w:rPr>
          <w:b/>
        </w:rPr>
        <w:t xml:space="preserve">COMPLETION</w:t>
      </w:r>
      <w:r>
        <w:rPr/>
        <w:t xml:space="preserve">, </w:t>
      </w:r>
      <w:r>
        <w:rPr>
          <w:b/>
        </w:rPr>
        <w:t xml:space="preserve">Warranties</w:t>
      </w:r>
      <w:r>
        <w:rPr/>
        <w:t xml:space="preserve">.</w:t>
      </w:r>
    </w:p>
    <w:bookmarkEnd w:id="92"/>
    <w:bookmarkEnd w:id="91"/>
    <w:bookmarkEnd w:id="90"/>
    <w:bookmarkStart w:name="f-10153-25" w:id="94"/>
    <w:p>
      <w:pPr>
        <w:pStyle w:val="Heading3"/>
      </w:pPr>
      <w:bookmarkStart w:name="h-10153-25" w:id="95"/>
      <w:r>
        <w:rPr/>
        <w:t xml:space="preserve">INSPECTION</w:t>
      </w:r>
      <w:bookmarkEnd w:id="95"/>
    </w:p>
    <w:bookmarkEnd w:id="94"/>
    <w:bookmarkStart w:name="f-10153-26" w:id="96"/>
    <w:p>
      <w:pPr>
        <w:pStyle w:val="Heading4"/>
      </w:pPr>
      <w:bookmarkStart w:name="h-10153-26" w:id="97"/>
      <w:r>
        <w:rPr/>
        <w:t xml:space="preserve">Notice – off-site</w:t>
      </w:r>
      <w:bookmarkEnd w:id="97"/>
    </w:p>
    <w:p>
      <w:pPr>
        <w:pStyle w:val="Body Text"/>
      </w:pPr>
      <w:r>
        <w:rPr/>
        <w:t xml:space="preserve">Inspection: Give notice so that inspection may be made of the following:</w:t>
      </w:r>
    </w:p>
    <w:p>
      <w:pPr>
        <w:pStyle w:val="NormalIndent"/>
      </w:pPr>
      <w:r>
        <w:rPr/>
        <w:t xml:space="preserve">Materials including welding consumables before fabrication.</w:t>
      </w:r>
    </w:p>
    <w:p>
      <w:pPr>
        <w:pStyle w:val="NormalIndent"/>
      </w:pPr>
      <w:r>
        <w:rPr/>
        <w:t xml:space="preserve">Testing of welding procedures and welder qualification tests.</w:t>
      </w:r>
    </w:p>
    <w:p>
      <w:pPr>
        <w:pStyle w:val="NormalIndent"/>
      </w:pPr>
      <w:r>
        <w:rPr/>
        <w:t xml:space="preserve">Commencement of shop fabrication.</w:t>
      </w:r>
    </w:p>
    <w:p>
      <w:pPr>
        <w:pStyle w:val="NormalIndent"/>
      </w:pPr>
      <w:r>
        <w:rPr/>
        <w:t xml:space="preserve">Commencement of welding.</w:t>
      </w:r>
    </w:p>
    <w:p>
      <w:pPr>
        <w:pStyle w:val="NormalIndent"/>
      </w:pPr>
      <w:r>
        <w:rPr/>
        <w:t xml:space="preserve">Complete penetration butt welds before the placement of root runs.</w:t>
      </w:r>
    </w:p>
    <w:p>
      <w:pPr>
        <w:pStyle w:val="NormalIndent"/>
      </w:pPr>
      <w:r>
        <w:rPr/>
        <w:t xml:space="preserve">High-strength bolt tensioning (when completed off-site).</w:t>
      </w:r>
    </w:p>
    <w:p>
      <w:pPr>
        <w:pStyle w:val="NormalIndent"/>
      </w:pPr>
      <w:r>
        <w:rPr/>
        <w:t xml:space="preserve">Completion of fabrication before surface preparation.</w:t>
      </w:r>
    </w:p>
    <w:p>
      <w:pPr>
        <w:pStyle w:val="NormalIndent"/>
      </w:pPr>
      <w:r>
        <w:rPr/>
        <w:t xml:space="preserve">Surface preparation before protective coating.</w:t>
      </w:r>
    </w:p>
    <w:p>
      <w:pPr>
        <w:pStyle w:val="NormalIndent"/>
      </w:pPr>
      <w:r>
        <w:rPr/>
        <w:t xml:space="preserve">Completion of protective coating before delivery to site.</w:t>
      </w:r>
    </w:p>
    <w:p>
      <w:pPr>
        <w:pStyle w:val="Instructions"/>
      </w:pPr>
      <w:r>
        <w:rPr/>
        <w:t xml:space="preserve">Edit to suit the project, if necessary.</w:t>
      </w:r>
    </w:p>
    <w:bookmarkEnd w:id="96"/>
    <w:bookmarkStart w:name="f-10153-27" w:id="98"/>
    <w:p>
      <w:pPr>
        <w:pStyle w:val="Heading4"/>
      </w:pPr>
      <w:bookmarkStart w:name="h-10153-27" w:id="99"/>
      <w:r>
        <w:rPr/>
        <w:t xml:space="preserve">Notice – on-site</w:t>
      </w:r>
      <w:bookmarkEnd w:id="99"/>
    </w:p>
    <w:p>
      <w:pPr>
        <w:pStyle w:val="Body Text"/>
      </w:pPr>
      <w:r>
        <w:rPr/>
        <w:t xml:space="preserve">Inspection: Give notice so that inspection may be made of the following:</w:t>
      </w:r>
    </w:p>
    <w:p>
      <w:pPr>
        <w:pStyle w:val="NormalIndent"/>
      </w:pPr>
      <w:r>
        <w:rPr/>
        <w:t xml:space="preserve">Steelwork on-site before erection.</w:t>
      </w:r>
    </w:p>
    <w:p>
      <w:pPr>
        <w:pStyle w:val="NormalIndent"/>
      </w:pPr>
      <w:r>
        <w:rPr/>
        <w:t xml:space="preserve">Anchor bolts in position before casting in.</w:t>
      </w:r>
    </w:p>
    <w:p>
      <w:pPr>
        <w:pStyle w:val="NormalIndent"/>
      </w:pPr>
      <w:r>
        <w:rPr/>
        <w:t xml:space="preserve">Steelwork and column bases erected on site, before grouting, encasing, site protective coating or cladding.</w:t>
      </w:r>
    </w:p>
    <w:p>
      <w:pPr>
        <w:pStyle w:val="NormalIndent"/>
      </w:pPr>
      <w:r>
        <w:rPr/>
        <w:t xml:space="preserve">Tensioning of bolts in categories 8.8/TB, 8.8/TF, 10.9/TB and 10.9/TF.</w:t>
      </w:r>
    </w:p>
    <w:p>
      <w:pPr>
        <w:pStyle w:val="Instructions"/>
      </w:pPr>
      <w:r>
        <w:rPr/>
        <w:t xml:space="preserve">Note: TF is friction-type and TB is bearing-type as defined in AS 4100 (2020) clause 1.3.</w:t>
      </w:r>
    </w:p>
    <w:p>
      <w:pPr>
        <w:pStyle w:val="NormalIndent"/>
      </w:pPr>
      <w:r>
        <w:rPr/>
        <w:t xml:space="preserve">Reinforcement and formwork in place before any encasement.</w:t>
      </w:r>
    </w:p>
    <w:p>
      <w:pPr>
        <w:pStyle w:val="NormalIndent"/>
      </w:pPr>
      <w:r>
        <w:rPr/>
        <w:t xml:space="preserve">Completed grouting, encasement, fire protection or site applied protective coating.</w:t>
      </w:r>
    </w:p>
    <w:p>
      <w:pPr>
        <w:pStyle w:val="NormalIndent"/>
      </w:pPr>
      <w:r>
        <w:rPr/>
        <w:t xml:space="preserve">Installed ASB / ASB(UC) and SlimDek 210 deck before placement of any concrete.</w:t>
      </w:r>
    </w:p>
    <w:p>
      <w:pPr>
        <w:pStyle w:val="Instructions"/>
      </w:pPr>
      <w:r>
        <w:rPr/>
        <w:t xml:space="preserve">Edit to suit the project, adding critical stage or mandatory inspections required by legislation or regulation.</w:t>
      </w:r>
    </w:p>
    <w:p>
      <w:pPr>
        <w:pStyle w:val="Instructions"/>
      </w:pPr>
      <w:r>
        <w:rPr>
          <w:b/>
        </w:rPr>
        <w:t xml:space="preserve">Hold points</w:t>
      </w:r>
      <w:r>
        <w:rPr/>
        <w:t xml:space="preserve">, if required, should be inserted here.</w:t>
      </w:r>
    </w:p>
    <w:bookmarkEnd w:id="98"/>
    <w:bookmarkStart w:name="f-10153-10153.8" w:id="100"/>
    <w:p>
      <w:pPr>
        <w:pStyle w:val="OptionalHeading4"/>
      </w:pPr>
      <w:bookmarkStart w:name="h-10153-10153.8" w:id="101"/>
      <w:r>
        <w:rPr/>
        <w:t xml:space="preserve">Notice – on-site</w:t>
      </w:r>
      <w:bookmarkEnd w:id="101"/>
    </w:p>
    <w:p>
      <w:pPr>
        <w:pStyle w:val="OptionalNormal"/>
      </w:pPr>
      <w:r>
        <w:rPr/>
        <w:t xml:space="preserve">Inspection: Give notice so that inspection may be made of the following:</w:t>
      </w:r>
    </w:p>
    <w:p>
      <w:pPr>
        <w:pStyle w:val="OptionalNormalIndent"/>
      </w:pPr>
      <w:r>
        <w:rPr/>
        <w:t xml:space="preserve">Mechanical or chemical anchor proof load testing.</w:t>
      </w:r>
    </w:p>
    <w:p>
      <w:pPr>
        <w:pStyle w:val="OptionalNormalIndent"/>
      </w:pPr>
      <w:r>
        <w:rPr/>
        <w:t xml:space="preserve">The loading and unloading of temporary works.</w:t>
      </w:r>
    </w:p>
    <w:p>
      <w:pPr>
        <w:pStyle w:val="Instructions"/>
      </w:pPr>
      <w:r>
        <w:rPr/>
        <w:t xml:space="preserve">Edit to suit the project, if necessary.</w:t>
      </w:r>
    </w:p>
    <w:p>
      <w:pPr>
        <w:pStyle w:val="Instructions"/>
      </w:pPr>
      <w:r>
        <w:rPr/>
        <w:t xml:space="preserve">If either of the last two points above are a project requirement, consider including this </w:t>
      </w:r>
      <w:r>
        <w:rPr>
          <w:i/>
        </w:rPr>
        <w:t xml:space="preserve">Optional</w:t>
      </w:r>
      <w:r>
        <w:rPr/>
        <w:t xml:space="preserve"> style text by changing to </w:t>
      </w:r>
      <w:r>
        <w:rPr>
          <w:i/>
        </w:rPr>
        <w:t xml:space="preserve">Normal</w:t>
      </w:r>
      <w:r>
        <w:rPr/>
        <w:t xml:space="preserve"> style text.</w:t>
      </w:r>
    </w:p>
    <w:bookmarkEnd w:id="100"/>
    <w:bookmarkEnd w:id="28"/>
    <w:bookmarkStart w:name="f-10152" w:id="102"/>
    <w:bookmarkStart w:name="f-10152-1" w:id="103"/>
    <w:p>
      <w:pPr>
        <w:pStyle w:val="Heading2"/>
      </w:pPr>
      <w:bookmarkStart w:name="h-10152-1" w:id="104"/>
      <w:r>
        <w:rPr/>
        <w:t xml:space="preserve">PRODUCTS</w:t>
      </w:r>
      <w:bookmarkEnd w:id="104"/>
    </w:p>
    <w:bookmarkEnd w:id="103"/>
    <w:bookmarkStart w:name="f-10152-2" w:id="105"/>
    <w:p>
      <w:pPr>
        <w:pStyle w:val="Heading3"/>
      </w:pPr>
      <w:bookmarkStart w:name="h-10152-2" w:id="106"/>
      <w:r>
        <w:rPr/>
        <w:t xml:space="preserve">GENERAL</w:t>
      </w:r>
      <w:bookmarkEnd w:id="106"/>
    </w:p>
    <w:bookmarkEnd w:id="105"/>
    <w:bookmarkStart w:name="f-10152-10152.1" w:id="107"/>
    <w:bookmarkStart w:name="f-8385" w:id="108"/>
    <w:bookmarkStart w:name="f-8385-2" w:id="109"/>
    <w:p>
      <w:pPr>
        <w:pStyle w:val="Heading4"/>
      </w:pPr>
      <w:bookmarkStart w:name="h-8385-2" w:id="110"/>
      <w:r>
        <w:rPr/>
        <w:t xml:space="preserve">Product substitution</w:t>
      </w:r>
      <w:bookmarkEnd w:id="110"/>
    </w:p>
    <w:p>
      <w:pPr>
        <w:pStyle w:val="Body Text"/>
      </w:pPr>
      <w:r>
        <w:rPr/>
        <w:t xml:space="preserve">Other products: Conform to </w:t>
      </w:r>
      <w:r>
        <w:rPr>
          <w:b/>
        </w:rPr>
        <w:t xml:space="preserve">SUBSTITUTIONS</w:t>
      </w:r>
      <w:r>
        <w:rPr/>
        <w:t xml:space="preserve"> in </w:t>
      </w:r>
      <w:r>
        <w:rPr>
          <w:i/>
        </w:rPr>
        <w:t xml:space="preserve">0171 General requirements</w:t>
      </w:r>
      <w:r>
        <w:rPr/>
        <w:t xml:space="preserve">.</w:t>
      </w:r>
    </w:p>
    <w:bookmarkEnd w:id="109"/>
    <w:bookmarkStart w:name="f-8385-3" w:id="111"/>
    <w:p>
      <w:pPr>
        <w:pStyle w:val="Instructions"/>
      </w:pPr>
      <w:r>
        <w:rPr>
          <w:b/>
        </w:rPr>
        <w:t xml:space="preserve">SUBSTITUTIONS</w:t>
      </w:r>
      <w:r>
        <w:rPr/>
        <w:t xml:space="preserve"> in </w:t>
      </w:r>
      <w:r>
        <w:rPr>
          <w:i/>
        </w:rPr>
        <w:t xml:space="preserve">0171 General requirements</w:t>
      </w:r>
      <w:r>
        <w:rPr/>
        <w:t xml:space="preserve"> sets out the submissions required if the contractor proposes alternative products. Refer also to NATSPEC TECHnote GEN 006 for more information on proprietary specification.</w:t>
      </w:r>
    </w:p>
    <w:bookmarkEnd w:id="111"/>
    <w:bookmarkEnd w:id="108"/>
    <w:bookmarkEnd w:id="107"/>
    <w:bookmarkStart w:name="f-10152-10152.5" w:id="112"/>
    <w:p>
      <w:pPr>
        <w:pStyle w:val="Heading4"/>
      </w:pPr>
      <w:bookmarkStart w:name="h-10152-10152.5" w:id="113"/>
      <w:r>
        <w:rPr/>
        <w:t xml:space="preserve">Samples</w:t>
      </w:r>
      <w:bookmarkEnd w:id="113"/>
    </w:p>
    <w:p>
      <w:pPr>
        <w:pStyle w:val="Body Text"/>
      </w:pPr>
      <w:r>
        <w:rPr/>
        <w:t xml:space="preserve">Requirement: Provide samples, as follows:</w:t>
      </w:r>
    </w:p>
    <w:p>
      <w:pPr>
        <w:pStyle w:val="NormalIndent"/>
      </w:pPr>
      <w:r>
        <w:rPr/>
        <w:t xml:space="preserve">AESS, as documented.</w:t>
      </w:r>
    </w:p>
    <w:p>
      <w:pPr>
        <w:pStyle w:val="Instructions"/>
      </w:pPr>
      <w:r>
        <w:rPr/>
        <w:t xml:space="preserve">Document requirements in the </w:t>
      </w:r>
      <w:r>
        <w:rPr>
          <w:b/>
        </w:rPr>
        <w:t xml:space="preserve">AESS schedule</w:t>
      </w:r>
      <w:r>
        <w:rPr/>
        <w:t xml:space="preserve"> or delete if not required.</w:t>
      </w:r>
    </w:p>
    <w:p>
      <w:pPr>
        <w:pStyle w:val="NormalIndent"/>
      </w:pPr>
      <w:r>
        <w:rPr/>
        <w:t xml:space="preserve">Special finishes for finished steel, as documented.</w:t>
      </w:r>
    </w:p>
    <w:p>
      <w:pPr>
        <w:pStyle w:val="Instructions"/>
      </w:pPr>
      <w:r>
        <w:rPr/>
        <w:t xml:space="preserve">Document requirements in the </w:t>
      </w:r>
      <w:r>
        <w:rPr>
          <w:b/>
        </w:rPr>
        <w:t xml:space="preserve">Special finishes schedule</w:t>
      </w:r>
      <w:r>
        <w:rPr/>
        <w:t xml:space="preserve">.</w:t>
      </w:r>
    </w:p>
    <w:p>
      <w:pPr>
        <w:pStyle w:val="Body Text"/>
      </w:pPr>
      <w:r>
        <w:rPr/>
        <w:t xml:space="preserve">Sample size: Minimum 0.1 m</w:t>
      </w:r>
      <w:r>
        <w:rPr>
          <w:vertAlign w:val="superscript"/>
        </w:rPr>
        <w:t xml:space="preserve">2</w:t>
      </w:r>
      <w:r>
        <w:rPr/>
        <w:t xml:space="preserve">.</w:t>
      </w:r>
    </w:p>
    <w:bookmarkEnd w:id="112"/>
    <w:bookmarkStart w:name="f-10152-3" w:id="114"/>
    <w:p>
      <w:pPr>
        <w:pStyle w:val="Heading4"/>
      </w:pPr>
      <w:bookmarkStart w:name="h-10152-3" w:id="115"/>
      <w:r>
        <w:rPr/>
        <w:t xml:space="preserve">Materials</w:t>
      </w:r>
      <w:bookmarkEnd w:id="115"/>
    </w:p>
    <w:p>
      <w:pPr>
        <w:pStyle w:val="Body Text"/>
      </w:pPr>
      <w:r>
        <w:rPr/>
        <w:t xml:space="preserve">Requirement: To AS/NZS 5131 (2016) Section 5.</w:t>
      </w:r>
    </w:p>
    <w:bookmarkEnd w:id="114"/>
    <w:bookmarkStart w:name="f-10152-4" w:id="116"/>
    <w:p>
      <w:pPr>
        <w:pStyle w:val="Heading4"/>
      </w:pPr>
      <w:bookmarkStart w:name="h-10152-4" w:id="117"/>
      <w:r>
        <w:rPr/>
        <w:t xml:space="preserve">Storage and handling</w:t>
      </w:r>
      <w:bookmarkEnd w:id="117"/>
    </w:p>
    <w:p>
      <w:pPr>
        <w:pStyle w:val="Body Text"/>
      </w:pPr>
      <w:r>
        <w:rPr/>
        <w:t xml:space="preserve">Requirement: Pack, support, transport and handle members and components without overstressing, deforming or damaging them or their protective coating.</w:t>
      </w:r>
    </w:p>
    <w:p>
      <w:pPr>
        <w:pStyle w:val="Instructions"/>
      </w:pPr>
      <w:r>
        <w:rPr/>
        <w:t xml:space="preserve">Refer to AS/NZS 5131 (2016) clause 6.11.</w:t>
      </w:r>
    </w:p>
    <w:p>
      <w:pPr>
        <w:pStyle w:val="Body Text"/>
      </w:pPr>
      <w:r>
        <w:rPr/>
        <w:t xml:space="preserve">Damaged items: Rectify or replace. Do not assemble into the structure without approval.</w:t>
      </w:r>
    </w:p>
    <w:p>
      <w:pPr>
        <w:pStyle w:val="Body Text"/>
      </w:pPr>
      <w:r>
        <w:rPr/>
        <w:t xml:space="preserve">Protection: Wrap or otherwise protect members or components to prevent damage to surface finishes during handling and erection.</w:t>
      </w:r>
    </w:p>
    <w:p>
      <w:pPr>
        <w:pStyle w:val="Body Text"/>
      </w:pPr>
      <w:r>
        <w:rPr/>
        <w:t xml:space="preserve">Storage: Store off the ground.</w:t>
      </w:r>
    </w:p>
    <w:p>
      <w:pPr>
        <w:pStyle w:val="Body Text"/>
      </w:pPr>
      <w:r>
        <w:rPr/>
        <w:t xml:space="preserve">Lifting points: Do not allow steel slings to come into direct contact with coated steelwork.</w:t>
      </w:r>
    </w:p>
    <w:bookmarkEnd w:id="116"/>
    <w:bookmarkStart w:name="f-10152-5" w:id="118"/>
    <w:p>
      <w:pPr>
        <w:pStyle w:val="Heading4"/>
      </w:pPr>
      <w:bookmarkStart w:name="h-10152-5" w:id="119"/>
      <w:r>
        <w:rPr/>
        <w:t xml:space="preserve">Purchasing and traceability</w:t>
      </w:r>
      <w:bookmarkEnd w:id="119"/>
    </w:p>
    <w:p>
      <w:pPr>
        <w:pStyle w:val="Body Text"/>
      </w:pPr>
      <w:r>
        <w:rPr/>
        <w:t xml:space="preserve">Purchasing documentation and procedure: To AS/NZS 5131 (2016) clause 4.6.</w:t>
      </w:r>
    </w:p>
    <w:p>
      <w:pPr>
        <w:pStyle w:val="Instructions"/>
      </w:pPr>
      <w:r>
        <w:rPr/>
        <w:t xml:space="preserve">All stakeholders in the supply chain need to implement systems to support the requirements of AS/NZS 5131 (2016). Importantly, the purchasing process needs to maintain continuity of requirements.</w:t>
      </w:r>
    </w:p>
    <w:p>
      <w:pPr>
        <w:pStyle w:val="Body Text"/>
      </w:pPr>
      <w:r>
        <w:rPr/>
        <w:t xml:space="preserve">Level of traceability: To AS/NZS 5131 (2016) clause 5.2.3 and the types defined in AS/NZS 5131 (2016) clause 4.7.</w:t>
      </w:r>
    </w:p>
    <w:p>
      <w:pPr>
        <w:pStyle w:val="Instructions"/>
      </w:pPr>
      <w:r>
        <w:rPr/>
        <w:t xml:space="preserve">If piece or piece-mark traceability is required for CC3 or CC4, include such requirements here.</w:t>
      </w:r>
    </w:p>
    <w:bookmarkEnd w:id="118"/>
    <w:bookmarkStart w:name="f-10152-6" w:id="120"/>
    <w:p>
      <w:pPr>
        <w:pStyle w:val="Heading3"/>
      </w:pPr>
      <w:bookmarkStart w:name="h-10152-6" w:id="121"/>
      <w:r>
        <w:rPr/>
        <w:t xml:space="preserve">STRUCTURAL STEEL</w:t>
      </w:r>
      <w:bookmarkEnd w:id="121"/>
    </w:p>
    <w:bookmarkEnd w:id="120"/>
    <w:bookmarkStart w:name="f-10152-7" w:id="122"/>
    <w:p>
      <w:pPr>
        <w:pStyle w:val="Heading4"/>
      </w:pPr>
      <w:bookmarkStart w:name="h-10152-7" w:id="123"/>
      <w:r>
        <w:rPr/>
        <w:t xml:space="preserve">Steel members and sections steel grade table</w:t>
      </w:r>
      <w:bookmarkEnd w:id="123"/>
    </w:p>
    <w:tbl>
      <w:tblPr>
        <w:tblStyle w:val="NATSPECTable"/>
        <w:tblW w:w="5000" w:type="pct"/>
        <w:tblLook w:firstRow="1" w:lastRow="0" w:firstColumn="0" w:lastColumn="0"/>
      </w:tblPr>
      <w:tr>
        <w:trPr>
          <w:tblHeader/>
        </w:trPr>
        <w:tc>
          <w:tcPr>
            <w:tcW w:w="50%" w:type="pct"/>
          </w:tcPr>
          <w:p>
            <w:pPr>
              <w:pStyle w:val="Tabletitle"/>
            </w:pPr>
            <w:r>
              <w:rPr/>
              <w:t xml:space="preserve">Type of steel</w:t>
            </w:r>
          </w:p>
        </w:tc>
        <w:tc>
          <w:tcPr>
            <w:tcW w:w="50%" w:type="pct"/>
          </w:tcPr>
          <w:p>
            <w:pPr>
              <w:pStyle w:val="Tabletitle"/>
            </w:pPr>
            <w:r>
              <w:rPr/>
              <w:t xml:space="preserve">Minimum grade</w:t>
            </w:r>
          </w:p>
        </w:tc>
      </w:tr>
      <w:tr>
        <w:trPr/>
        <w:tc>
          <w:tcPr>
            <w:tcW w:w="50%" w:type="pct"/>
          </w:tcPr>
          <w:p>
            <w:pPr>
              <w:pStyle w:val="Tabletext"/>
            </w:pPr>
            <w:r>
              <w:rPr/>
              <w:t xml:space="preserve">Hot-rolled sections to AS/NZS 3679.1 (2016) and SA TS 102 (2016)</w:t>
            </w:r>
          </w:p>
        </w:tc>
        <w:tc>
          <w:tcPr>
            <w:tcW w:w="50%" w:type="pct"/>
          </w:tcPr>
          <w:p>
            <w:pPr>
              <w:pStyle w:val="Tabletext"/>
            </w:pPr>
            <w:r>
              <w:rPr/>
              <w:t xml:space="preserve">300</w:t>
            </w:r>
          </w:p>
        </w:tc>
      </w:tr>
      <w:tr>
        <w:trPr/>
        <w:tc>
          <w:tcPr>
            <w:tcW w:w="50%" w:type="pct"/>
          </w:tcPr>
          <w:p>
            <w:pPr>
              <w:pStyle w:val="Tabletext"/>
            </w:pPr>
            <w:r>
              <w:rPr/>
              <w:t xml:space="preserve">Welded sections to AS/NZS 3679.2 (2016)</w:t>
            </w:r>
          </w:p>
        </w:tc>
        <w:tc>
          <w:tcPr>
            <w:tcW w:w="50%" w:type="pct"/>
          </w:tcPr>
          <w:p>
            <w:pPr>
              <w:pStyle w:val="Tabletext"/>
            </w:pPr>
            <w:r>
              <w:rPr/>
              <w:t xml:space="preserve">300</w:t>
            </w:r>
          </w:p>
        </w:tc>
      </w:tr>
      <w:tr>
        <w:trPr/>
        <w:tc>
          <w:tcPr>
            <w:tcW w:w="50%" w:type="pct"/>
          </w:tcPr>
          <w:p>
            <w:pPr>
              <w:pStyle w:val="Tabletext"/>
            </w:pPr>
            <w:r>
              <w:rPr/>
              <w:t xml:space="preserve">Hot-rolled plates, floor plates and slabs to AS/NZS 3678 (2016) and SA TS 102 (2016)</w:t>
            </w:r>
          </w:p>
        </w:tc>
        <w:tc>
          <w:tcPr>
            <w:tcW w:w="50%" w:type="pct"/>
          </w:tcPr>
          <w:p>
            <w:pPr>
              <w:pStyle w:val="Tabletext"/>
            </w:pPr>
            <w:r>
              <w:rPr/>
              <w:t xml:space="preserve">250</w:t>
            </w:r>
          </w:p>
        </w:tc>
      </w:tr>
      <w:tr>
        <w:trPr/>
        <w:tc>
          <w:tcPr>
            <w:tcW w:w="50%" w:type="pct"/>
          </w:tcPr>
          <w:p>
            <w:pPr>
              <w:pStyle w:val="Tabletext"/>
            </w:pPr>
            <w:r>
              <w:rPr/>
              <w:t xml:space="preserve">Hot-rolled flat products to AS/NZS 1594 (2002)</w:t>
            </w:r>
          </w:p>
        </w:tc>
        <w:tc>
          <w:tcPr>
            <w:tcW w:w="50%" w:type="pct"/>
          </w:tcPr>
          <w:p>
            <w:pPr>
              <w:pStyle w:val="Tabletext"/>
            </w:pPr>
            <w:r>
              <w:rPr/>
              <w:t xml:space="preserve">HA250</w:t>
            </w:r>
          </w:p>
        </w:tc>
      </w:tr>
      <w:tr>
        <w:trPr/>
        <w:tc>
          <w:tcPr>
            <w:tcW w:w="50%" w:type="pct"/>
          </w:tcPr>
          <w:p>
            <w:pPr>
              <w:pStyle w:val="Tabletext"/>
            </w:pPr>
            <w:r>
              <w:rPr/>
              <w:t xml:space="preserve">Hollow sections to AS/NZS 1163 (2016) and SA TS 102 (2016): Circular sections less than 166 mm nominal outside diameter</w:t>
            </w:r>
          </w:p>
        </w:tc>
        <w:tc>
          <w:tcPr>
            <w:tcW w:w="50%" w:type="pct"/>
          </w:tcPr>
          <w:p>
            <w:pPr>
              <w:pStyle w:val="Tabletext"/>
            </w:pPr>
            <w:r>
              <w:rPr/>
              <w:t xml:space="preserve">C250</w:t>
            </w:r>
          </w:p>
        </w:tc>
      </w:tr>
      <w:tr>
        <w:trPr/>
        <w:tc>
          <w:tcPr>
            <w:tcW w:w="50%" w:type="pct"/>
          </w:tcPr>
          <w:p>
            <w:pPr>
              <w:pStyle w:val="Tabletext"/>
            </w:pPr>
            <w:r>
              <w:rPr/>
              <w:t xml:space="preserve">Hollow sections to AS/NZS 1163 (2016) and SA TS 102 (2016): Sections other than circular sections less than 166 mm nominal outside diameter</w:t>
            </w:r>
          </w:p>
        </w:tc>
        <w:tc>
          <w:tcPr>
            <w:tcW w:w="50%" w:type="pct"/>
          </w:tcPr>
          <w:p>
            <w:pPr>
              <w:pStyle w:val="Tabletext"/>
            </w:pPr>
            <w:r>
              <w:rPr/>
              <w:t xml:space="preserve">C350</w:t>
            </w:r>
          </w:p>
        </w:tc>
      </w:tr>
      <w:tr>
        <w:trPr/>
        <w:tc>
          <w:tcPr>
            <w:tcW w:w="50%" w:type="pct"/>
          </w:tcPr>
          <w:p>
            <w:pPr>
              <w:pStyle w:val="Tabletext"/>
            </w:pPr>
            <w:r>
              <w:rPr/>
              <w:t xml:space="preserve">Cold-formed purlins and girts to AS 1397 (2021)</w:t>
            </w:r>
          </w:p>
        </w:tc>
        <w:tc>
          <w:tcPr>
            <w:tcW w:w="50%" w:type="pct"/>
          </w:tcPr>
          <w:p>
            <w:pPr>
              <w:pStyle w:val="Tabletext"/>
            </w:pPr>
            <w:r>
              <w:rPr/>
              <w:t xml:space="preserve">G450, Z350</w:t>
            </w:r>
          </w:p>
        </w:tc>
      </w:tr>
      <w:tr>
        <w:trPr/>
        <w:tc>
          <w:tcPr>
            <w:tcW w:w="50%" w:type="pct"/>
          </w:tcPr>
          <w:p>
            <w:pPr>
              <w:pStyle w:val="Tabletext"/>
            </w:pPr>
            <w:r>
              <w:rPr/>
              <w:t xml:space="preserve">ASB / ASB(UC)</w:t>
            </w:r>
          </w:p>
        </w:tc>
        <w:tc>
          <w:tcPr>
            <w:tcW w:w="50%" w:type="pct"/>
          </w:tcPr>
          <w:p>
            <w:pPr>
              <w:pStyle w:val="Tabletext"/>
            </w:pPr>
            <w:r>
              <w:rPr/>
              <w:t xml:space="preserve">G300</w:t>
            </w:r>
          </w:p>
        </w:tc>
      </w:tr>
      <w:tr>
        <w:trPr/>
        <w:tc>
          <w:tcPr>
            <w:tcW w:w="50%" w:type="pct"/>
          </w:tcPr>
          <w:p>
            <w:pPr>
              <w:pStyle w:val="Tabletext"/>
            </w:pPr>
            <w:r>
              <w:rPr/>
              <w:t xml:space="preserve">Fielders SlimDek 210 deck</w:t>
            </w:r>
          </w:p>
        </w:tc>
        <w:tc>
          <w:tcPr>
            <w:tcW w:w="50%" w:type="pct"/>
          </w:tcPr>
          <w:p>
            <w:pPr>
              <w:pStyle w:val="Tabletext"/>
            </w:pPr>
            <w:r>
              <w:rPr/>
              <w:t xml:space="preserve">G500, Z350</w:t>
            </w:r>
          </w:p>
        </w:tc>
      </w:tr>
    </w:tbl>
    <w:p>
      <w:r>
        <w:t xml:space="preserve"> </w:t>
      </w:r>
    </w:p>
    <w:p>
      <w:pPr>
        <w:pStyle w:val="Instructions"/>
      </w:pPr>
      <w:r>
        <w:rPr/>
        <w:t xml:space="preserve">The values given in the table are the minimum grades commonly available. If the grade required on a project is higher than the values tabulated, edit the values to suit the project. Refer to the manufacturer for the available steel grades.</w:t>
      </w:r>
    </w:p>
    <w:p>
      <w:pPr>
        <w:pStyle w:val="Instructions"/>
      </w:pPr>
      <w:r>
        <w:rPr/>
        <w:t xml:space="preserve">For cold-formed purlins and girts, specify the steel grade in conjunction with the hot-dip galvanized coating mass. A coating designation of Z350 denotes a coating mass of 350 g/m</w:t>
      </w:r>
      <w:r>
        <w:rPr>
          <w:vertAlign w:val="superscript"/>
        </w:rPr>
        <w:t xml:space="preserve">2</w:t>
      </w:r>
      <w:r>
        <w:rPr/>
        <w:t xml:space="preserve">.</w:t>
      </w:r>
    </w:p>
    <w:p>
      <w:pPr>
        <w:pStyle w:val="Instructions"/>
      </w:pPr>
      <w:r>
        <w:rPr/>
        <w:t xml:space="preserve">See AS 4100 (2020) clause 2.2. If steel is not identified or tested for conformance, it needs to be downgraded as required by AS 4100 (2020) clause 2.2.3.</w:t>
      </w:r>
    </w:p>
    <w:p>
      <w:pPr>
        <w:pStyle w:val="Instructions"/>
      </w:pPr>
      <w:r>
        <w:rPr/>
        <w:t xml:space="preserve">The ASB / ASB(UC) is available in typical range of G300, G350 and G400 MPa. Note that the span tables in </w:t>
      </w:r>
      <w:r>
        <w:rPr>
          <w:i/>
        </w:rPr>
        <w:t xml:space="preserve">Fielders Fact File F.3.5 (2018)</w:t>
      </w:r>
      <w:r>
        <w:rPr/>
        <w:t xml:space="preserve"> have used G350 for the calculations.</w:t>
      </w:r>
    </w:p>
    <w:bookmarkEnd w:id="122"/>
    <w:bookmarkStart w:name="f-10152-8" w:id="124"/>
    <w:p>
      <w:pPr>
        <w:pStyle w:val="Heading4"/>
      </w:pPr>
      <w:bookmarkStart w:name="h-10152-8" w:id="125"/>
      <w:r>
        <w:rPr/>
        <w:t xml:space="preserve">Certification</w:t>
      </w:r>
      <w:bookmarkEnd w:id="125"/>
    </w:p>
    <w:p>
      <w:pPr>
        <w:pStyle w:val="Body Text"/>
      </w:pPr>
      <w:r>
        <w:rPr/>
        <w:t xml:space="preserve">Steel: Minimum requirements for test and inspection certificates, to the following:</w:t>
      </w:r>
    </w:p>
    <w:p>
      <w:pPr>
        <w:pStyle w:val="NormalIndent"/>
      </w:pPr>
      <w:r>
        <w:rPr/>
        <w:t xml:space="preserve">Hot-rolled bars and sections: To AS/NZS 3679.1 (2016) clause 11.2.4.</w:t>
      </w:r>
    </w:p>
    <w:p>
      <w:pPr>
        <w:pStyle w:val="NormalIndent"/>
      </w:pPr>
      <w:r>
        <w:rPr/>
        <w:t xml:space="preserve">Welded I sections: To AS/NZS 3679.2 (2016) clause 11.2.4.</w:t>
      </w:r>
    </w:p>
    <w:p>
      <w:pPr>
        <w:pStyle w:val="NormalIndent"/>
      </w:pPr>
      <w:r>
        <w:rPr/>
        <w:t xml:space="preserve">Hot-rolled plates: To AS/NZS 3678 (2016) clause 11.2.4.</w:t>
      </w:r>
    </w:p>
    <w:p>
      <w:pPr>
        <w:pStyle w:val="NormalIndent"/>
      </w:pPr>
      <w:r>
        <w:rPr/>
        <w:t xml:space="preserve">Cold-formed hollow sections: To AS/NZS 1163 (2016) clause 11.2.4.</w:t>
      </w:r>
    </w:p>
    <w:p>
      <w:pPr>
        <w:pStyle w:val="Instructions"/>
      </w:pPr>
      <w:r>
        <w:rPr/>
        <w:t xml:space="preserve">Make sure test certificates are written in alphanumeric English and include the chemical composition of the steel.</w:t>
      </w:r>
    </w:p>
    <w:p>
      <w:pPr>
        <w:pStyle w:val="Instructions"/>
      </w:pPr>
      <w:r>
        <w:rPr/>
        <w:t xml:space="preserve">The ASI recommends that all steel be sourced from mills certified by an organisation with relevant JAS ANZ accreditation, e.g. The </w:t>
      </w:r>
      <w:r>
        <w:rPr>
          <w:i/>
        </w:rPr>
        <w:t xml:space="preserve">Australian Certification Authority for Reinforcing and Structural Steels (ACRS)</w:t>
      </w:r>
      <w:r>
        <w:rPr/>
        <w:t xml:space="preserve"> who certify manufacturers and suppliers of steel reinforcing, steel prestressing and structural steel under the ACRS scheme (see </w:t>
      </w:r>
      <w:r>
        <w:fldChar w:fldCharType="begin"/>
      </w:r>
      <w:r>
        <w:instrText xml:space="preserve"> HYPERLINK "https://www.steelcertification.com/" </w:instrText>
      </w:r>
      <w:r>
        <w:fldChar w:fldCharType="separate"/>
      </w:r>
      <w:r>
        <w:rPr>
          <w:rStyle w:val="Hyperlink"/>
        </w:rPr>
        <w:t>www.steelcertification.com</w:t>
      </w:r>
      <w:r>
        <w:fldChar w:fldCharType="end"/>
      </w:r>
      <w:r>
        <w:rPr/>
        <w:t xml:space="preserve">). If certification to this (or any alternative) scheme is a project requirement, document such requirements here.</w:t>
      </w:r>
    </w:p>
    <w:p>
      <w:pPr>
        <w:pStyle w:val="Instructions"/>
      </w:pPr>
      <w:r>
        <w:rPr/>
        <w:t xml:space="preserve">Refer to ASI TN014 (2020) for more information on the relevant Standards and certification schemes available for structural steel.</w:t>
      </w:r>
    </w:p>
    <w:bookmarkEnd w:id="124"/>
    <w:bookmarkStart w:name="f-10152-9" w:id="126"/>
    <w:p>
      <w:pPr>
        <w:pStyle w:val="OptionalHeading4"/>
      </w:pPr>
      <w:bookmarkStart w:name="h-10152-9" w:id="127"/>
      <w:r>
        <w:rPr/>
        <w:t xml:space="preserve">Environmentally sustainable steelwork</w:t>
      </w:r>
      <w:bookmarkEnd w:id="127"/>
    </w:p>
    <w:p>
      <w:pPr>
        <w:pStyle w:val="OptionalNormal"/>
      </w:pPr>
      <w:r>
        <w:rPr/>
        <w:t xml:space="preserve">Requirement: Conform to the following:</w:t>
      </w:r>
    </w:p>
    <w:p>
      <w:pPr>
        <w:pStyle w:val="OptionalNormalIndent"/>
      </w:pPr>
      <w:r>
        <w:rPr/>
        <w:t xml:space="preserve">Steel: Sourced from steelmakers verified as meeting the requirements of the Steel Sustainability Australia Certification Program.</w:t>
      </w:r>
    </w:p>
    <w:p>
      <w:pPr>
        <w:pStyle w:val="OptionalNormalIndent"/>
      </w:pPr>
      <w:r>
        <w:rPr/>
        <w:t xml:space="preserve">Steelwork: Supplied by facilities certified to the Steel Sustainability Australia Certification Program.</w:t>
      </w:r>
    </w:p>
    <w:p>
      <w:pPr>
        <w:pStyle w:val="Instructions"/>
      </w:pPr>
      <w:r>
        <w:rPr/>
        <w:t xml:space="preserve">If environmentally sustainable steelwork to Steel Sustainability Australia (SSA) is a project requirement, consider including this </w:t>
      </w:r>
      <w:r>
        <w:rPr>
          <w:i/>
        </w:rPr>
        <w:t xml:space="preserve">Optional</w:t>
      </w:r>
      <w:r>
        <w:rPr/>
        <w:t xml:space="preserve"> style text by changing to </w:t>
      </w:r>
      <w:r>
        <w:rPr>
          <w:i/>
        </w:rPr>
        <w:t xml:space="preserve">Normal</w:t>
      </w:r>
      <w:r>
        <w:rPr/>
        <w:t xml:space="preserve"> style text. Additional requirements are applicable to each SSA certification level and can be found on the SSA website. Edit the text above to suit project requirements.</w:t>
      </w:r>
    </w:p>
    <w:p>
      <w:pPr>
        <w:pStyle w:val="Instructions"/>
      </w:pPr>
      <w:r>
        <w:rPr/>
        <w:t xml:space="preserve">If contractor submission of evidence is required, include submission requirements in </w:t>
      </w:r>
      <w:r>
        <w:rPr>
          <w:b/>
        </w:rPr>
        <w:t xml:space="preserve">SUBMISSIONS</w:t>
      </w:r>
      <w:r>
        <w:rPr/>
        <w:t xml:space="preserve">.</w:t>
      </w:r>
    </w:p>
    <w:p>
      <w:pPr>
        <w:pStyle w:val="Instructions"/>
      </w:pPr>
      <w:r>
        <w:rPr/>
        <w:t xml:space="preserve">SSA Verified Supplier Certificates, or Environmental Product Declarations together with certificates from other certification schemes can be obtained as evidence of steel source.</w:t>
      </w:r>
    </w:p>
    <w:p>
      <w:pPr>
        <w:pStyle w:val="Instructions"/>
      </w:pPr>
      <w:r>
        <w:rPr/>
        <w:t xml:space="preserve">A SSA Certificate of Compliance and listing on the SSA website (</w:t>
      </w:r>
      <w:r>
        <w:fldChar w:fldCharType="begin"/>
      </w:r>
      <w:r>
        <w:instrText xml:space="preserve"> HYPERLINK "https://www.steelsustainability.com.au/supplier-listing" </w:instrText>
      </w:r>
      <w:r>
        <w:fldChar w:fldCharType="separate"/>
      </w:r>
      <w:r>
        <w:rPr>
          <w:rStyle w:val="Hyperlink"/>
        </w:rPr>
        <w:t>www.steelsustainability.com.au/supplier-listing</w:t>
      </w:r>
      <w:r>
        <w:fldChar w:fldCharType="end"/>
      </w:r>
      <w:r>
        <w:rPr/>
        <w:t xml:space="preserve">) can be obtained as evidence of steelwork facility compliance.</w:t>
      </w:r>
    </w:p>
    <w:bookmarkEnd w:id="126"/>
    <w:bookmarkStart w:name="f-10152-10" w:id="128"/>
    <w:p>
      <w:pPr>
        <w:pStyle w:val="Heading4"/>
      </w:pPr>
      <w:bookmarkStart w:name="h-10152-10" w:id="129"/>
      <w:r>
        <w:rPr/>
        <w:t xml:space="preserve">Testing</w:t>
      </w:r>
      <w:bookmarkEnd w:id="129"/>
    </w:p>
    <w:p>
      <w:pPr>
        <w:pStyle w:val="Body Text"/>
      </w:pPr>
      <w:r>
        <w:rPr/>
        <w:t xml:space="preserve">Requirement: As documented.</w:t>
      </w:r>
    </w:p>
    <w:p>
      <w:pPr>
        <w:pStyle w:val="Instructions"/>
      </w:pPr>
      <w:r>
        <w:rPr/>
        <w:t xml:space="preserve">Document requirements in the </w:t>
      </w:r>
      <w:r>
        <w:rPr>
          <w:b/>
        </w:rPr>
        <w:t xml:space="preserve">Non-destructive testing of bars and sections schedule</w:t>
      </w:r>
      <w:r>
        <w:rPr/>
        <w:t xml:space="preserve">.</w:t>
      </w:r>
    </w:p>
    <w:bookmarkEnd w:id="128"/>
    <w:bookmarkStart w:name="f-10152-11" w:id="130"/>
    <w:p>
      <w:pPr>
        <w:pStyle w:val="Heading4"/>
      </w:pPr>
      <w:bookmarkStart w:name="h-10152-11" w:id="131"/>
      <w:r>
        <w:rPr/>
        <w:t xml:space="preserve">Ultrasonic testing of plates</w:t>
      </w:r>
      <w:bookmarkEnd w:id="131"/>
    </w:p>
    <w:p>
      <w:pPr>
        <w:pStyle w:val="Prompt"/>
      </w:pPr>
      <w:r>
        <w:rPr/>
        <w:t xml:space="preserve">Quality level to AS 1710 (2007): </w:t>
      </w:r>
      <w:r>
        <w:fldChar w:fldCharType="begin"/>
        <w:instrText xml:space="preserve"> MACROBUTTON  ac_OnHelp [complete/delete]</w:instrText>
        <w:fldChar w:fldCharType="separate"/>
        <w:t xml:space="preserve"> </w:t>
        <w:fldChar w:fldCharType="end"/>
      </w:r>
    </w:p>
    <w:p>
      <w:pPr>
        <w:pStyle w:val="Instructions"/>
      </w:pPr>
      <w:r>
        <w:rPr/>
        <w:t xml:space="preserve">Select the required quality grade, e.g. Level 1, Level 2 or Level 3. Where an edge is an additional requirement, designate it as Level 1E, Level 2E or Level 3E, as appropriate.</w:t>
      </w:r>
    </w:p>
    <w:p>
      <w:pPr>
        <w:pStyle w:val="Instructions"/>
      </w:pPr>
      <w:r>
        <w:rPr/>
        <w:t xml:space="preserve">The ASI recommends indicating joint details that are susceptible to lamellar tearing on the project drawings as ‘LT susceptible’ and requiring that such plate be ultrasonically tested to AS 1710 (2007) Level 1. For joints susceptible to lamellar tearing that require plates to a nominated Z-value, the ASI also recommends indicating the Z-values on the drawings. Refer to AS 4100 (2020) clause 2.2.5 for available Z-values.</w:t>
      </w:r>
    </w:p>
    <w:p>
      <w:pPr>
        <w:pStyle w:val="Instructions"/>
      </w:pPr>
      <w:r>
        <w:rPr/>
        <w:t xml:space="preserve">The ASI also recommends supplementary ultrasonic testing to Level 1 for all plates 40 mm thick and over.</w:t>
      </w:r>
    </w:p>
    <w:p>
      <w:pPr>
        <w:pStyle w:val="Instructions"/>
      </w:pPr>
      <w:r>
        <w:rPr/>
        <w:t xml:space="preserve">Include any detailed testing requirements in the </w:t>
      </w:r>
      <w:r>
        <w:rPr>
          <w:b/>
        </w:rPr>
        <w:t xml:space="preserve">Non-destructive testing of bars and sections schedule</w:t>
      </w:r>
      <w:r>
        <w:rPr/>
        <w:t xml:space="preserve">.</w:t>
      </w:r>
    </w:p>
    <w:bookmarkEnd w:id="130"/>
    <w:bookmarkStart w:name="f-10152-10152.4" w:id="132"/>
    <w:p>
      <w:pPr>
        <w:pStyle w:val="Heading3"/>
      </w:pPr>
      <w:bookmarkStart w:name="h-10152-10152.4" w:id="133"/>
      <w:r>
        <w:rPr/>
        <w:t xml:space="preserve">SLIMFLOR FLOORING SYSTEM</w:t>
      </w:r>
      <w:bookmarkEnd w:id="133"/>
    </w:p>
    <w:bookmarkEnd w:id="132"/>
    <w:bookmarkStart w:name="f-10152-10152.3" w:id="134"/>
    <w:p>
      <w:pPr>
        <w:pStyle w:val="Heading4"/>
      </w:pPr>
      <w:bookmarkStart w:name="h-10152-10152.3" w:id="135"/>
      <w:r>
        <w:rPr/>
        <w:t xml:space="preserve">General</w:t>
      </w:r>
      <w:bookmarkEnd w:id="135"/>
    </w:p>
    <w:p>
      <w:pPr>
        <w:pStyle w:val="Body Text"/>
      </w:pPr>
      <w:r>
        <w:rPr/>
        <w:t xml:space="preserve">Material selection and design: To Fielders’ recommendations, with material selection to suit environmental exposure conditions.</w:t>
      </w:r>
    </w:p>
    <w:p>
      <w:pPr>
        <w:pStyle w:val="Body Text"/>
      </w:pPr>
      <w:r>
        <w:rPr/>
        <w:t xml:space="preserve">Selection: To the </w:t>
      </w:r>
      <w:r>
        <w:rPr>
          <w:b/>
        </w:rPr>
        <w:t xml:space="preserve">Fielders SlimFlor schedule</w:t>
      </w:r>
      <w:r>
        <w:rPr/>
        <w:t xml:space="preserve">.</w:t>
      </w:r>
    </w:p>
    <w:bookmarkEnd w:id="134"/>
    <w:bookmarkStart w:name="f-10152-10152.2" w:id="136"/>
    <w:p>
      <w:pPr>
        <w:pStyle w:val="Heading4"/>
      </w:pPr>
      <w:bookmarkStart w:name="h-10152-10152.2" w:id="137"/>
      <w:r>
        <w:rPr/>
        <w:t xml:space="preserve">Materials</w:t>
      </w:r>
      <w:bookmarkEnd w:id="137"/>
    </w:p>
    <w:p>
      <w:pPr>
        <w:pStyle w:val="Body Text"/>
      </w:pPr>
      <w:r>
        <w:rPr/>
        <w:t xml:space="preserve">SlimDek 210 deck: DECKFORM high tensile steel.</w:t>
      </w:r>
    </w:p>
    <w:p>
      <w:pPr>
        <w:pStyle w:val="Body Text"/>
      </w:pPr>
      <w:r>
        <w:rPr/>
        <w:t xml:space="preserve">SlimDek 210 corrosion protection: Zinc coating mass of 350 g/m</w:t>
      </w:r>
      <w:r>
        <w:rPr>
          <w:vertAlign w:val="superscript"/>
        </w:rPr>
        <w:t xml:space="preserve">2</w:t>
      </w:r>
      <w:r>
        <w:rPr/>
        <w:t xml:space="preserve"> (Z350).</w:t>
      </w:r>
    </w:p>
    <w:p>
      <w:pPr>
        <w:pStyle w:val="Body Text"/>
      </w:pPr>
      <w:r>
        <w:rPr/>
        <w:t xml:space="preserve">SlimFlor ASB: Fabricated from one of the following:</w:t>
      </w:r>
    </w:p>
    <w:p>
      <w:pPr>
        <w:pStyle w:val="NormalIndent"/>
      </w:pPr>
      <w:r>
        <w:rPr/>
        <w:t xml:space="preserve">ASB: 3 steel plates conforming to AS/NZS 3678 (2016), welded together to form an asymmetrical beam section with a bottom flange wider than the top flange.</w:t>
      </w:r>
    </w:p>
    <w:p>
      <w:pPr>
        <w:pStyle w:val="NormalIndent"/>
      </w:pPr>
      <w:r>
        <w:rPr/>
        <w:t xml:space="preserve">ASB(UC): A UC section with an additional plate, nominally 150 mm wider than the UC flange, welded to the bottom flange of the UC.</w:t>
      </w:r>
    </w:p>
    <w:p>
      <w:pPr>
        <w:pStyle w:val="Instructions"/>
      </w:pPr>
      <w:r>
        <w:rPr/>
        <w:t xml:space="preserve">The typical range of sizes available for both ASB’s and ASB(UC)’s are noted in the </w:t>
      </w:r>
      <w:r>
        <w:rPr>
          <w:i/>
        </w:rPr>
        <w:t xml:space="preserve">Fielders Fact File F.3.5 (2018)</w:t>
      </w:r>
      <w:r>
        <w:rPr/>
        <w:t xml:space="preserve">.</w:t>
      </w:r>
    </w:p>
    <w:bookmarkEnd w:id="136"/>
    <w:bookmarkStart w:name="f-10152-12" w:id="138"/>
    <w:p>
      <w:pPr>
        <w:pStyle w:val="Heading3"/>
      </w:pPr>
      <w:bookmarkStart w:name="h-10152-12" w:id="139"/>
      <w:r>
        <w:rPr/>
        <w:t xml:space="preserve">MECHANICAL FASTENERS</w:t>
      </w:r>
      <w:bookmarkEnd w:id="139"/>
    </w:p>
    <w:bookmarkEnd w:id="138"/>
    <w:bookmarkStart w:name="f-10152-13" w:id="140"/>
    <w:p>
      <w:pPr>
        <w:pStyle w:val="Heading4"/>
      </w:pPr>
      <w:bookmarkStart w:name="h-10152-13" w:id="141"/>
      <w:r>
        <w:rPr/>
        <w:t xml:space="preserve">Standards</w:t>
      </w:r>
      <w:bookmarkEnd w:id="141"/>
    </w:p>
    <w:p>
      <w:pPr>
        <w:pStyle w:val="Body Text"/>
      </w:pPr>
      <w:r>
        <w:rPr/>
        <w:t xml:space="preserve">Bolts: To AS 1110.1 (2015), AS 1111.1 (2015) and AS/NZS 1252.1 (2016).</w:t>
      </w:r>
    </w:p>
    <w:p>
      <w:pPr>
        <w:pStyle w:val="Body Text"/>
      </w:pPr>
      <w:r>
        <w:rPr/>
        <w:t xml:space="preserve">Nuts: To AS 1112.1 (2015), AS 1112.2 (2015), AS 1112.3 (2015), AS 1112.4 (2015) and AS/NZS 1252.1 (2016).</w:t>
      </w:r>
    </w:p>
    <w:bookmarkEnd w:id="140"/>
    <w:bookmarkStart w:name="f-10152-14" w:id="142"/>
    <w:p>
      <w:pPr>
        <w:pStyle w:val="Heading4"/>
      </w:pPr>
      <w:bookmarkStart w:name="h-10152-14" w:id="143"/>
      <w:r>
        <w:rPr/>
        <w:t xml:space="preserve">Bolting category</w:t>
      </w:r>
      <w:bookmarkEnd w:id="143"/>
    </w:p>
    <w:p>
      <w:pPr>
        <w:pStyle w:val="Body Text"/>
      </w:pPr>
      <w:r>
        <w:rPr/>
        <w:t xml:space="preserve">Requirement: To the </w:t>
      </w:r>
      <w:r>
        <w:rPr>
          <w:b/>
        </w:rPr>
        <w:t xml:space="preserve">Bolting category schedule</w:t>
      </w:r>
      <w:r>
        <w:rPr/>
        <w:t xml:space="preserve">.</w:t>
      </w:r>
    </w:p>
    <w:p>
      <w:pPr>
        <w:pStyle w:val="Instructions"/>
      </w:pPr>
      <w:r>
        <w:rPr/>
        <w:t xml:space="preserve">It is preferable to show this information on the drawings. If it is, delete this subclause and the </w:t>
      </w:r>
      <w:r>
        <w:rPr>
          <w:b/>
        </w:rPr>
        <w:t xml:space="preserve">Bolting category schedule</w:t>
      </w:r>
      <w:r>
        <w:rPr/>
        <w:t xml:space="preserve">.</w:t>
      </w:r>
    </w:p>
    <w:p>
      <w:pPr>
        <w:pStyle w:val="Instructions"/>
      </w:pPr>
      <w:r>
        <w:rPr/>
        <w:t xml:space="preserve">Refer to AS 4100 (2020) clause 9.2.1 for bolt categories.</w:t>
      </w:r>
    </w:p>
    <w:bookmarkEnd w:id="142"/>
    <w:bookmarkStart w:name="f-10152-15" w:id="144"/>
    <w:p>
      <w:pPr>
        <w:pStyle w:val="Heading4"/>
      </w:pPr>
      <w:bookmarkStart w:name="h-10152-15" w:id="145"/>
      <w:r>
        <w:rPr/>
        <w:t xml:space="preserve">Certification</w:t>
      </w:r>
      <w:bookmarkEnd w:id="145"/>
    </w:p>
    <w:p>
      <w:pPr>
        <w:pStyle w:val="Body Text"/>
      </w:pPr>
      <w:r>
        <w:rPr/>
        <w:t xml:space="preserve">High-strength bolt assemblies: Minimum requirements for test reports, to AS/NZS 1252.1 (2016) clause 6.4.2.</w:t>
      </w:r>
    </w:p>
    <w:p>
      <w:pPr>
        <w:pStyle w:val="Instructions"/>
      </w:pPr>
      <w:r>
        <w:rPr/>
        <w:t xml:space="preserve">As all high-strength bolt assemblies are imported, these are essential requirements.</w:t>
      </w:r>
    </w:p>
    <w:bookmarkEnd w:id="144"/>
    <w:bookmarkStart w:name="f-10152-16" w:id="146"/>
    <w:p>
      <w:pPr>
        <w:pStyle w:val="Heading4"/>
      </w:pPr>
      <w:bookmarkStart w:name="h-10152-16" w:id="147"/>
      <w:r>
        <w:rPr/>
        <w:t xml:space="preserve">Finish</w:t>
      </w:r>
      <w:bookmarkEnd w:id="147"/>
    </w:p>
    <w:p>
      <w:pPr>
        <w:pStyle w:val="Body Text"/>
      </w:pPr>
      <w:r>
        <w:rPr/>
        <w:t xml:space="preserve">Bolts, nuts and washers: Hot-dip galvanized to AS/NZS 1214 (2016), corrosion-free, and in serviceable condition.</w:t>
      </w:r>
    </w:p>
    <w:bookmarkEnd w:id="146"/>
    <w:bookmarkStart w:name="f-10152-17" w:id="148"/>
    <w:p>
      <w:pPr>
        <w:pStyle w:val="Heading4"/>
      </w:pPr>
      <w:bookmarkStart w:name="h-10152-17" w:id="149"/>
      <w:r>
        <w:rPr/>
        <w:t xml:space="preserve">Anchor bolts</w:t>
      </w:r>
      <w:bookmarkEnd w:id="149"/>
    </w:p>
    <w:p>
      <w:pPr>
        <w:pStyle w:val="Body Text"/>
      </w:pPr>
      <w:r>
        <w:rPr/>
        <w:t xml:space="preserve">Hexagonal bolts: To AS 1111.1 (2015).</w:t>
      </w:r>
    </w:p>
    <w:p>
      <w:pPr>
        <w:pStyle w:val="Body Text"/>
      </w:pPr>
      <w:r>
        <w:rPr/>
        <w:t xml:space="preserve">Hexagonal nuts: To AS 1112.3 (2015).</w:t>
      </w:r>
    </w:p>
    <w:p>
      <w:pPr>
        <w:pStyle w:val="Body Text"/>
      </w:pPr>
      <w:r>
        <w:rPr/>
        <w:t xml:space="preserve">Plain washers: To AS 1237.1 (2002).</w:t>
      </w:r>
    </w:p>
    <w:p>
      <w:pPr>
        <w:pStyle w:val="Body Text"/>
      </w:pPr>
      <w:r>
        <w:rPr/>
        <w:t xml:space="preserve">Requirement: Provide each anchor bolt with 2 nuts and 2 oversize washers with sufficient thread for the levelling nut and washer to sit below the base plate.</w:t>
      </w:r>
    </w:p>
    <w:p>
      <w:pPr>
        <w:pStyle w:val="Instructions"/>
      </w:pPr>
      <w:r>
        <w:rPr/>
        <w:t xml:space="preserve">Supply of anchor bolts is usually included with the supply of structural steel, but installed by others. If the steel fabricator or erector is responsible for installing the anchor bolts, make reference to the installation requirements in </w:t>
      </w:r>
      <w:r>
        <w:rPr>
          <w:b/>
        </w:rPr>
        <w:t xml:space="preserve">ERECTION</w:t>
      </w:r>
      <w:r>
        <w:rPr/>
        <w:t xml:space="preserve">, </w:t>
      </w:r>
      <w:r>
        <w:rPr>
          <w:b/>
        </w:rPr>
        <w:t xml:space="preserve">Anchor bolts</w:t>
      </w:r>
      <w:r>
        <w:rPr/>
        <w:t xml:space="preserve">. See </w:t>
      </w:r>
      <w:r>
        <w:rPr>
          <w:b/>
        </w:rPr>
        <w:t xml:space="preserve">CORES, FIXINGS AND EMBEDDED ITEMS</w:t>
      </w:r>
      <w:r>
        <w:rPr/>
        <w:t xml:space="preserve"> in </w:t>
      </w:r>
      <w:r>
        <w:rPr>
          <w:i/>
        </w:rPr>
        <w:t xml:space="preserve">0310 Concrete - combined</w:t>
      </w:r>
      <w:r>
        <w:rPr/>
        <w:t xml:space="preserve"> or </w:t>
      </w:r>
      <w:r>
        <w:rPr>
          <w:i/>
        </w:rPr>
        <w:t xml:space="preserve">0314 Concrete in situ</w:t>
      </w:r>
      <w:r>
        <w:rPr/>
        <w:t xml:space="preserve"> for installation of the bolts. Consider special conditions requiring a fabricated bolt to be provided.</w:t>
      </w:r>
    </w:p>
    <w:p>
      <w:pPr>
        <w:pStyle w:val="Body Text"/>
      </w:pPr>
      <w:r>
        <w:rPr/>
        <w:t xml:space="preserve">Mechanical and chemical anchors: To AS 5216 (2021), installed to manufacturer’s recommendations.</w:t>
      </w:r>
    </w:p>
    <w:p>
      <w:pPr>
        <w:pStyle w:val="Prompt"/>
      </w:pPr>
      <w:r>
        <w:rPr/>
        <w:t xml:space="preserve">Anchor product: </w:t>
      </w:r>
      <w:r>
        <w:fldChar w:fldCharType="begin"/>
        <w:instrText xml:space="preserve"> MACROBUTTON  ac_OnHelp [complete/delete]</w:instrText>
        <w:fldChar w:fldCharType="separate"/>
        <w:t xml:space="preserve"> </w:t>
        <w:fldChar w:fldCharType="end"/>
      </w:r>
    </w:p>
    <w:p>
      <w:pPr>
        <w:pStyle w:val="Instructions"/>
      </w:pPr>
      <w:r>
        <w:rPr/>
        <w:t xml:space="preserve">Insert required product. If more than one anchor type is required or the product name/code is not specific enough to describe the anchor required, consider using a schedule in SELECTIONS to document the various anchor types, locations, loadings, etc.</w:t>
      </w:r>
    </w:p>
    <w:p>
      <w:pPr>
        <w:pStyle w:val="Instructions"/>
      </w:pPr>
      <w:r>
        <w:rPr/>
        <w:t xml:space="preserve">If fasteners for thin gauge components, special fasteners or explosive fasteners are required, refer to AS/NZS 5131 (2016) clauses 5.5.10, 5.5.11 and 5.7 and document requirements here.</w:t>
      </w:r>
    </w:p>
    <w:p>
      <w:pPr>
        <w:pStyle w:val="Prompt"/>
      </w:pPr>
      <w:r>
        <w:rPr/>
        <w:t xml:space="preserve">Proof testing of anchors: </w:t>
      </w:r>
      <w:r>
        <w:fldChar w:fldCharType="begin"/>
        <w:instrText xml:space="preserve"> MACROBUTTON  ac_OnHelp [complete/delete]</w:instrText>
        <w:fldChar w:fldCharType="separate"/>
        <w:t xml:space="preserve"> </w:t>
        <w:fldChar w:fldCharType="end"/>
      </w:r>
    </w:p>
    <w:p>
      <w:pPr>
        <w:pStyle w:val="Instructions"/>
      </w:pPr>
      <w:r>
        <w:rPr/>
        <w:t xml:space="preserve">If proof testing is required, nominate the testing requirements, otherwise delete. Refer to AS 5216 (2021) Appendix A.</w:t>
      </w:r>
    </w:p>
    <w:bookmarkEnd w:id="148"/>
    <w:bookmarkStart w:name="f-10152-18" w:id="150"/>
    <w:p>
      <w:pPr>
        <w:pStyle w:val="Heading3"/>
      </w:pPr>
      <w:bookmarkStart w:name="h-10152-18" w:id="151"/>
      <w:r>
        <w:rPr/>
        <w:t xml:space="preserve">OTHER MATERIALS</w:t>
      </w:r>
      <w:bookmarkEnd w:id="151"/>
    </w:p>
    <w:bookmarkEnd w:id="150"/>
    <w:bookmarkStart w:name="f-10152-19" w:id="152"/>
    <w:p>
      <w:pPr>
        <w:pStyle w:val="Heading4"/>
      </w:pPr>
      <w:bookmarkStart w:name="h-10152-19" w:id="153"/>
      <w:r>
        <w:rPr/>
        <w:t xml:space="preserve">Welding consumables</w:t>
      </w:r>
      <w:bookmarkEnd w:id="153"/>
    </w:p>
    <w:p>
      <w:pPr>
        <w:pStyle w:val="Body Text"/>
      </w:pPr>
      <w:r>
        <w:rPr/>
        <w:t xml:space="preserve">Requirement: To the relevant part of the AS/NZS 1554 series.</w:t>
      </w:r>
    </w:p>
    <w:p>
      <w:pPr>
        <w:pStyle w:val="Instructions"/>
      </w:pPr>
      <w:r>
        <w:rPr/>
        <w:t xml:space="preserve">Refer to ASI TN008 (2012) for information on welding consumables and design.</w:t>
      </w:r>
    </w:p>
    <w:bookmarkEnd w:id="152"/>
    <w:bookmarkStart w:name="f-10152-20" w:id="154"/>
    <w:p>
      <w:pPr>
        <w:pStyle w:val="Heading4"/>
      </w:pPr>
      <w:bookmarkStart w:name="h-10152-20" w:id="155"/>
      <w:r>
        <w:rPr/>
        <w:t xml:space="preserve">Studs and shear connectors</w:t>
      </w:r>
      <w:bookmarkEnd w:id="155"/>
    </w:p>
    <w:p>
      <w:pPr>
        <w:pStyle w:val="Body Text"/>
      </w:pPr>
      <w:r>
        <w:rPr/>
        <w:t xml:space="preserve">Requirement: To AS/NZS 5131 (2016) clause 5.6.</w:t>
      </w:r>
    </w:p>
    <w:p>
      <w:pPr>
        <w:pStyle w:val="Prompt"/>
      </w:pPr>
      <w:r>
        <w:rPr/>
        <w:t xml:space="preserve">Grade: </w:t>
      </w:r>
      <w:r>
        <w:fldChar w:fldCharType="begin"/>
        <w:instrText xml:space="preserve"> MACROBUTTON  ac_OnHelp [complete/delete]</w:instrText>
        <w:fldChar w:fldCharType="separate"/>
        <w:t xml:space="preserve"> </w:t>
        <w:fldChar w:fldCharType="end"/>
      </w:r>
    </w:p>
    <w:p>
      <w:pPr>
        <w:pStyle w:val="Prompt"/>
      </w:pPr>
      <w:r>
        <w:rPr/>
        <w:t xml:space="preserve">Type: </w:t>
      </w:r>
      <w:r>
        <w:fldChar w:fldCharType="begin"/>
        <w:instrText xml:space="preserve"> MACROBUTTON  ac_OnHelp [complete/delete]</w:instrText>
        <w:fldChar w:fldCharType="separate"/>
        <w:t xml:space="preserve"> </w:t>
        <w:fldChar w:fldCharType="end"/>
      </w:r>
    </w:p>
    <w:p>
      <w:pPr>
        <w:pStyle w:val="Prompt"/>
      </w:pPr>
      <w:r>
        <w:rPr/>
        <w:t xml:space="preserve">Length: </w:t>
      </w:r>
      <w:r>
        <w:fldChar w:fldCharType="begin"/>
        <w:instrText xml:space="preserve"> MACROBUTTON  ac_OnHelp [complete/delete]</w:instrText>
        <w:fldChar w:fldCharType="separate"/>
        <w:t xml:space="preserve"> </w:t>
        <w:fldChar w:fldCharType="end"/>
      </w:r>
    </w:p>
    <w:p>
      <w:pPr>
        <w:pStyle w:val="Instructions"/>
      </w:pPr>
      <w:r>
        <w:rPr/>
        <w:t xml:space="preserve">If more than one type of stud or shear connector is required, consider using a schedule in SELECTIONS to document the various types.</w:t>
      </w:r>
    </w:p>
    <w:bookmarkEnd w:id="154"/>
    <w:bookmarkStart w:name="f-10152-21" w:id="156"/>
    <w:p>
      <w:pPr>
        <w:pStyle w:val="Heading4"/>
      </w:pPr>
      <w:bookmarkStart w:name="h-10152-21" w:id="157"/>
      <w:r>
        <w:rPr/>
        <w:t xml:space="preserve">Grout</w:t>
      </w:r>
      <w:bookmarkEnd w:id="157"/>
    </w:p>
    <w:p>
      <w:pPr>
        <w:pStyle w:val="Body Text"/>
      </w:pPr>
      <w:r>
        <w:rPr/>
        <w:t xml:space="preserve">Requirement: To AS/NZS 5131 (2016) clause 5.8.</w:t>
      </w:r>
    </w:p>
    <w:p>
      <w:pPr>
        <w:pStyle w:val="Prompt"/>
      </w:pPr>
      <w:r>
        <w:rPr/>
        <w:t xml:space="preserve">Method: </w:t>
      </w:r>
      <w:r>
        <w:fldChar w:fldCharType="begin"/>
        <w:instrText xml:space="preserve"> MACROBUTTON  ac_OnHelp [complete/delete]</w:instrText>
        <w:fldChar w:fldCharType="separate"/>
        <w:t xml:space="preserve"> </w:t>
        <w:fldChar w:fldCharType="end"/>
      </w:r>
    </w:p>
    <w:p>
      <w:pPr>
        <w:pStyle w:val="Instructions"/>
      </w:pPr>
      <w:r>
        <w:rPr/>
        <w:t xml:space="preserve">e.g. Pressure grouting, Dry pack with stiff cement mortar.</w:t>
      </w:r>
    </w:p>
    <w:p>
      <w:pPr>
        <w:pStyle w:val="Prompt"/>
      </w:pPr>
      <w:r>
        <w:rPr/>
        <w:t xml:space="preserve">Type: </w:t>
      </w:r>
      <w:r>
        <w:fldChar w:fldCharType="begin"/>
        <w:instrText xml:space="preserve"> MACROBUTTON  ac_OnHelp [complete/delete]</w:instrText>
        <w:fldChar w:fldCharType="separate"/>
        <w:t xml:space="preserve"> </w:t>
        <w:fldChar w:fldCharType="end"/>
      </w:r>
    </w:p>
    <w:p>
      <w:pPr>
        <w:pStyle w:val="Instructions"/>
      </w:pPr>
      <w:r>
        <w:rPr/>
        <w:t xml:space="preserve">e.g. 1 cement: 2 sand or use a proprietary brand name. Consider non-shrink grout.</w:t>
      </w:r>
    </w:p>
    <w:p>
      <w:pPr>
        <w:pStyle w:val="Prompt"/>
      </w:pPr>
      <w:r>
        <w:rPr/>
        <w:t xml:space="preserve">Minimum compressive strength (MPa): </w:t>
      </w:r>
      <w:r>
        <w:fldChar w:fldCharType="begin"/>
        <w:instrText xml:space="preserve"> MACROBUTTON  ac_OnHelp [complete/delete]</w:instrText>
        <w:fldChar w:fldCharType="separate"/>
        <w:t xml:space="preserve"> </w:t>
        <w:fldChar w:fldCharType="end"/>
      </w:r>
    </w:p>
    <w:p>
      <w:pPr>
        <w:pStyle w:val="Prompt"/>
      </w:pPr>
      <w:r>
        <w:rPr/>
        <w:t xml:space="preserve">Minimum thickness (mm): </w:t>
      </w:r>
      <w:r>
        <w:fldChar w:fldCharType="begin"/>
        <w:instrText xml:space="preserve"> MACROBUTTON  ac_OnHelp [complete/delete]</w:instrText>
        <w:fldChar w:fldCharType="separate"/>
        <w:t xml:space="preserve"> </w:t>
        <w:fldChar w:fldCharType="end"/>
      </w:r>
    </w:p>
    <w:p>
      <w:pPr>
        <w:pStyle w:val="Prompt"/>
      </w:pPr>
      <w:r>
        <w:rPr/>
        <w:t xml:space="preserve">Maximum thickness (mm): </w:t>
      </w:r>
      <w:r>
        <w:fldChar w:fldCharType="begin"/>
        <w:instrText xml:space="preserve"> MACROBUTTON  ac_OnHelp [complete/delete]</w:instrText>
        <w:fldChar w:fldCharType="separate"/>
        <w:t xml:space="preserve"> </w:t>
        <w:fldChar w:fldCharType="end"/>
      </w:r>
    </w:p>
    <w:bookmarkEnd w:id="156"/>
    <w:bookmarkEnd w:id="102"/>
    <w:bookmarkStart w:name="f-10156" w:id="158"/>
    <w:bookmarkStart w:name="f-10156-1" w:id="159"/>
    <w:p>
      <w:pPr>
        <w:pStyle w:val="Heading2"/>
      </w:pPr>
      <w:bookmarkStart w:name="h-10156-1" w:id="160"/>
      <w:r>
        <w:rPr/>
        <w:t xml:space="preserve">EXECUTION</w:t>
      </w:r>
      <w:bookmarkEnd w:id="160"/>
    </w:p>
    <w:bookmarkEnd w:id="159"/>
    <w:bookmarkStart w:name="f-10156-2" w:id="161"/>
    <w:p>
      <w:pPr>
        <w:pStyle w:val="Heading3"/>
      </w:pPr>
      <w:bookmarkStart w:name="h-10156-2" w:id="162"/>
      <w:r>
        <w:rPr/>
        <w:t xml:space="preserve">PREPARATION, ASSEMBLY AND FABRICATION</w:t>
      </w:r>
      <w:bookmarkEnd w:id="162"/>
    </w:p>
    <w:p>
      <w:pPr>
        <w:pStyle w:val="Instructions"/>
      </w:pPr>
      <w:r>
        <w:rPr/>
        <w:t xml:space="preserve">See AS/NZS 5131 (2016) Section 6 and AS/NZS 1554.1 (2014).</w:t>
      </w:r>
    </w:p>
    <w:p>
      <w:pPr>
        <w:pStyle w:val="Instructions"/>
      </w:pPr>
      <w:r>
        <w:rPr/>
        <w:t xml:space="preserve">The ASI recommends that all steelwork be fabricated by fabricators certified under the </w:t>
      </w:r>
      <w:r>
        <w:rPr>
          <w:i/>
        </w:rPr>
        <w:t xml:space="preserve">National Structural Steelwork Compliance Scheme</w:t>
      </w:r>
      <w:r>
        <w:rPr/>
        <w:t xml:space="preserve"> (NSSCS) (see </w:t>
      </w:r>
      <w:r>
        <w:fldChar w:fldCharType="begin"/>
      </w:r>
      <w:r>
        <w:instrText xml:space="preserve"> HYPERLINK "https://www.scacompliance.com.au/" </w:instrText>
      </w:r>
      <w:r>
        <w:fldChar w:fldCharType="separate"/>
      </w:r>
      <w:r>
        <w:rPr>
          <w:rStyle w:val="Hyperlink"/>
        </w:rPr>
        <w:t>www.scacompliance.com.au</w:t>
      </w:r>
      <w:r>
        <w:fldChar w:fldCharType="end"/>
      </w:r>
      <w:r>
        <w:rPr/>
        <w:t xml:space="preserve">). If certification to this (or any alternative) scheme is a project requirement, document such requirements here.</w:t>
      </w:r>
    </w:p>
    <w:bookmarkEnd w:id="161"/>
    <w:bookmarkStart w:name="f-10156-3" w:id="163"/>
    <w:p>
      <w:pPr>
        <w:pStyle w:val="Heading4"/>
      </w:pPr>
      <w:bookmarkStart w:name="h-10156-3" w:id="164"/>
      <w:r>
        <w:rPr/>
        <w:t xml:space="preserve">Identification</w:t>
      </w:r>
      <w:bookmarkEnd w:id="164"/>
    </w:p>
    <w:p>
      <w:pPr>
        <w:pStyle w:val="Body Text"/>
      </w:pPr>
      <w:r>
        <w:rPr/>
        <w:t xml:space="preserve">Traceability: To AS/NZS 5131 (2016) clause 5.2.3.</w:t>
      </w:r>
    </w:p>
    <w:p>
      <w:pPr>
        <w:pStyle w:val="Body Text"/>
      </w:pPr>
      <w:r>
        <w:rPr/>
        <w:t xml:space="preserve">Marking: Provide marks or other means of identifying each member compatible with the finish, for setting out, locating, erecting and connecting the steelwork to the marking plans.</w:t>
      </w:r>
    </w:p>
    <w:p>
      <w:pPr>
        <w:pStyle w:val="Instructions"/>
      </w:pPr>
      <w:r>
        <w:rPr/>
        <w:t xml:space="preserve">Show on the drawings any areas where identification marks are not permitted.</w:t>
      </w:r>
    </w:p>
    <w:p>
      <w:pPr>
        <w:pStyle w:val="Prompt"/>
      </w:pPr>
      <w:r>
        <w:rPr/>
        <w:t xml:space="preserve">Hard stamping to AS/NZS 5131 (2016): </w:t>
      </w:r>
      <w:r>
        <w:fldChar w:fldCharType="begin"/>
        <w:instrText xml:space="preserve"> MACROBUTTON  ac_OnHelp [complete/delete]</w:instrText>
        <w:fldChar w:fldCharType="separate"/>
        <w:t xml:space="preserve"> </w:t>
        <w:fldChar w:fldCharType="end"/>
      </w:r>
    </w:p>
    <w:p>
      <w:pPr>
        <w:pStyle w:val="Instructions"/>
      </w:pPr>
      <w:r>
        <w:rPr/>
        <w:t xml:space="preserve">Permitted, or Not Permitted. If permitted, show on the drawings any areas where hard stamping is not allowed. If not permitted, nominate if soft or low stress stamps may be used.</w:t>
      </w:r>
    </w:p>
    <w:p>
      <w:pPr>
        <w:pStyle w:val="Body Text"/>
      </w:pPr>
      <w:r>
        <w:rPr/>
        <w:t xml:space="preserve">High-strength bolting: If the work includes more than one bolting category, mark high-strength structural bolted connections with a 75 mm wide flash of colour, clear of holes.</w:t>
      </w:r>
    </w:p>
    <w:p>
      <w:pPr>
        <w:pStyle w:val="Instructions"/>
      </w:pPr>
      <w:r>
        <w:rPr/>
        <w:t xml:space="preserve">Certain marking may be restricted for AESS. Refer to </w:t>
      </w:r>
      <w:r>
        <w:rPr>
          <w:b/>
        </w:rPr>
        <w:t xml:space="preserve">ARCHITECTURALLY EXPOSED STRUCTURAL STEELWORK</w:t>
      </w:r>
      <w:r>
        <w:rPr/>
        <w:t xml:space="preserve">.</w:t>
      </w:r>
    </w:p>
    <w:p>
      <w:pPr>
        <w:pStyle w:val="Body Text"/>
      </w:pPr>
      <w:r>
        <w:rPr/>
        <w:t xml:space="preserve">Cold-formed members: Clearly mark material thickness.</w:t>
      </w:r>
    </w:p>
    <w:p>
      <w:pPr>
        <w:pStyle w:val="Body Text"/>
      </w:pPr>
      <w:r>
        <w:rPr/>
        <w:t xml:space="preserve">Monorail beams: Identify and mark rated capacity in conformance with AS 1418.18 (2024) clause 5.12.6.</w:t>
      </w:r>
    </w:p>
    <w:bookmarkEnd w:id="163"/>
    <w:bookmarkStart w:name="f-10156-4" w:id="165"/>
    <w:p>
      <w:pPr>
        <w:pStyle w:val="Heading4"/>
      </w:pPr>
      <w:bookmarkStart w:name="h-10156-4" w:id="166"/>
      <w:r>
        <w:rPr/>
        <w:t xml:space="preserve">Natural beam camber</w:t>
      </w:r>
      <w:bookmarkEnd w:id="166"/>
    </w:p>
    <w:p>
      <w:pPr>
        <w:pStyle w:val="Body Text"/>
      </w:pPr>
      <w:r>
        <w:rPr/>
        <w:t xml:space="preserve">General: If steel beams have a natural camber, within the straightness tolerance, fabricate the steelwork element with the camber up.</w:t>
      </w:r>
    </w:p>
    <w:p>
      <w:pPr>
        <w:pStyle w:val="Instructions"/>
      </w:pPr>
      <w:r>
        <w:rPr/>
        <w:t xml:space="preserve">Taking advantage of natural camber is particularly important in cold-formed sections such as purlins for low-pitched roofs.</w:t>
      </w:r>
    </w:p>
    <w:p>
      <w:pPr>
        <w:pStyle w:val="Instructions"/>
      </w:pPr>
      <w:r>
        <w:rPr/>
        <w:t xml:space="preserve">Document any requirements for induced camber or preset on the drawings.</w:t>
      </w:r>
    </w:p>
    <w:bookmarkEnd w:id="165"/>
    <w:bookmarkStart w:name="f-10156-5" w:id="167"/>
    <w:p>
      <w:pPr>
        <w:pStyle w:val="Heading4"/>
      </w:pPr>
      <w:bookmarkStart w:name="h-10156-5" w:id="168"/>
      <w:r>
        <w:rPr/>
        <w:t xml:space="preserve">Cutting</w:t>
      </w:r>
      <w:bookmarkEnd w:id="168"/>
    </w:p>
    <w:p>
      <w:pPr>
        <w:pStyle w:val="Instructions"/>
      </w:pPr>
      <w:r>
        <w:rPr/>
        <w:t xml:space="preserve">Refer to AS/NZS 5131 (2016) clause 6.5.</w:t>
      </w:r>
    </w:p>
    <w:p>
      <w:pPr>
        <w:pStyle w:val="Body Text"/>
      </w:pPr>
      <w:r>
        <w:rPr/>
        <w:t xml:space="preserve">Shearing: Do not shear edges of a connection or parts of a member that have been designated as areas of plastic deformation.</w:t>
      </w:r>
    </w:p>
    <w:p>
      <w:pPr>
        <w:pStyle w:val="Body Text"/>
      </w:pPr>
      <w:r>
        <w:rPr/>
        <w:t xml:space="preserve">Punching: Do not punch fastener holes in locations designated as areas of plastic deformation.</w:t>
      </w:r>
    </w:p>
    <w:p>
      <w:pPr>
        <w:pStyle w:val="Instructions"/>
      </w:pPr>
      <w:r>
        <w:rPr/>
        <w:t xml:space="preserve">Designate areas of plastic deformation for seismic design on the drawings. Refer to AS 4100 (2020) clause 13.3.6.4 for requirements when alternatives to shearing and punching cannot be adopted.</w:t>
      </w:r>
    </w:p>
    <w:p>
      <w:pPr>
        <w:pStyle w:val="Instructions"/>
      </w:pPr>
      <w:r>
        <w:rPr/>
        <w:t xml:space="preserve">Also, identify details with a fatigue detail category greater than or equal to 80 MPa. Refer to AS/NZS 5131 (2016) clause 6.5.2.</w:t>
      </w:r>
    </w:p>
    <w:p>
      <w:pPr>
        <w:pStyle w:val="Prompt"/>
      </w:pPr>
      <w:r>
        <w:rPr/>
        <w:t xml:space="preserve">Prohibited cutting methods: </w:t>
      </w:r>
      <w:r>
        <w:fldChar w:fldCharType="begin"/>
        <w:instrText xml:space="preserve"> MACROBUTTON  ac_OnHelp [complete/delete]</w:instrText>
        <w:fldChar w:fldCharType="separate"/>
        <w:t xml:space="preserve"> </w:t>
        <w:fldChar w:fldCharType="end"/>
      </w:r>
    </w:p>
    <w:p>
      <w:pPr>
        <w:pStyle w:val="Instructions"/>
      </w:pPr>
      <w:r>
        <w:rPr/>
        <w:t xml:space="preserve">Refer to AS/NZS 5131 (2016) clause 6.5.1.</w:t>
      </w:r>
    </w:p>
    <w:bookmarkEnd w:id="167"/>
    <w:bookmarkStart w:name="f-10156-6" w:id="169"/>
    <w:p>
      <w:pPr>
        <w:pStyle w:val="Heading4"/>
      </w:pPr>
      <w:bookmarkStart w:name="h-10156-6" w:id="170"/>
      <w:r>
        <w:rPr/>
        <w:t xml:space="preserve">Shaping</w:t>
      </w:r>
      <w:bookmarkEnd w:id="170"/>
    </w:p>
    <w:p>
      <w:pPr>
        <w:pStyle w:val="Body Text"/>
      </w:pPr>
      <w:r>
        <w:rPr/>
        <w:t xml:space="preserve">Requirement: Where forming, shaping or correcting distorted members, avoid damage and conform to AS/NZS 5131 (2016) clause 6.6.</w:t>
      </w:r>
    </w:p>
    <w:bookmarkEnd w:id="169"/>
    <w:bookmarkStart w:name="f-10156-7" w:id="171"/>
    <w:p>
      <w:pPr>
        <w:pStyle w:val="Heading4"/>
      </w:pPr>
      <w:bookmarkStart w:name="h-10156-7" w:id="172"/>
      <w:r>
        <w:rPr/>
        <w:t xml:space="preserve">Holing</w:t>
      </w:r>
      <w:bookmarkEnd w:id="172"/>
    </w:p>
    <w:p>
      <w:pPr>
        <w:pStyle w:val="Instructions"/>
      </w:pPr>
      <w:r>
        <w:rPr/>
        <w:t xml:space="preserve">Refer to AS/NZS 5131 (2016) clause 6.7.</w:t>
      </w:r>
    </w:p>
    <w:p>
      <w:pPr>
        <w:pStyle w:val="Body Text"/>
      </w:pPr>
      <w:r>
        <w:rPr/>
        <w:t xml:space="preserve">Slotted holes: Do not use slotted holes for connections, other than those documented.</w:t>
      </w:r>
    </w:p>
    <w:p>
      <w:pPr>
        <w:pStyle w:val="Prompt"/>
      </w:pPr>
      <w:r>
        <w:rPr/>
        <w:t xml:space="preserve">Finish for pinned connections: </w:t>
      </w:r>
      <w:r>
        <w:fldChar w:fldCharType="begin"/>
        <w:instrText xml:space="preserve"> MACROBUTTON  ac_OnHelp [complete/delete]</w:instrText>
        <w:fldChar w:fldCharType="separate"/>
        <w:t xml:space="preserve"> </w:t>
        <w:fldChar w:fldCharType="end"/>
      </w:r>
    </w:p>
    <w:p>
      <w:pPr>
        <w:pStyle w:val="Instructions"/>
      </w:pPr>
      <w:r>
        <w:rPr/>
        <w:t xml:space="preserve">Refer to AS/NZS 5131 (2016) clause 6.7.6. Pins and holes shall be finished so that the forces are distributed evenly to the joint plies.</w:t>
      </w:r>
    </w:p>
    <w:bookmarkEnd w:id="171"/>
    <w:bookmarkStart w:name="f-10156-8" w:id="173"/>
    <w:p>
      <w:pPr>
        <w:pStyle w:val="Heading4"/>
      </w:pPr>
      <w:bookmarkStart w:name="h-10156-8" w:id="174"/>
      <w:r>
        <w:rPr/>
        <w:t xml:space="preserve">Tolerances</w:t>
      </w:r>
      <w:bookmarkEnd w:id="174"/>
    </w:p>
    <w:p>
      <w:pPr>
        <w:pStyle w:val="Body Text"/>
      </w:pPr>
      <w:r>
        <w:rPr/>
        <w:t xml:space="preserve">Measurement: Check tolerances by measurement after fabrication and application of corrosion protection.</w:t>
      </w:r>
    </w:p>
    <w:bookmarkEnd w:id="173"/>
    <w:bookmarkStart w:name="f-10156-10156.1" w:id="175"/>
    <w:p>
      <w:pPr>
        <w:pStyle w:val="Heading4"/>
      </w:pPr>
      <w:bookmarkStart w:name="h-10156-10156.1" w:id="176"/>
      <w:r>
        <w:rPr/>
        <w:t xml:space="preserve">Fielders SlimFlor</w:t>
      </w:r>
      <w:bookmarkEnd w:id="176"/>
    </w:p>
    <w:p>
      <w:pPr>
        <w:pStyle w:val="Body Text"/>
      </w:pPr>
      <w:r>
        <w:rPr/>
        <w:t xml:space="preserve">General: Install the ASB / ASB(UC) and SlimDek 210 to Fielders’ recommendations.</w:t>
      </w:r>
    </w:p>
    <w:p>
      <w:pPr>
        <w:pStyle w:val="Body Text"/>
      </w:pPr>
      <w:r>
        <w:rPr/>
        <w:t xml:space="preserve">SlimDek 10: Provide the following:</w:t>
      </w:r>
    </w:p>
    <w:p>
      <w:pPr>
        <w:pStyle w:val="NormalIndent"/>
      </w:pPr>
      <w:r>
        <w:rPr/>
        <w:t xml:space="preserve">Steel end-diaphragms fixed to ASB with powder actuated fixings at maximum 600 mm centres, or 4 per diaphragm length.</w:t>
      </w:r>
    </w:p>
    <w:p>
      <w:pPr>
        <w:pStyle w:val="NormalIndent"/>
      </w:pPr>
      <w:r>
        <w:rPr/>
        <w:t xml:space="preserve">SlimDek 210 sheets placed onto end-diaphragms, with a minimum 50 mm bearing to the end of each sheet, and fixed to top of the end-diaphragm using Series 500 Tek Screws.</w:t>
      </w:r>
    </w:p>
    <w:p>
      <w:pPr>
        <w:pStyle w:val="NormalIndent"/>
      </w:pPr>
      <w:r>
        <w:rPr/>
        <w:t xml:space="preserve">One heavy-duty powder actuated fixing to the ASB, per trough, at each end of the sheet.</w:t>
      </w:r>
    </w:p>
    <w:p>
      <w:pPr>
        <w:pStyle w:val="NormalIndent"/>
      </w:pPr>
      <w:r>
        <w:rPr/>
        <w:t xml:space="preserve">Stitching of side laps at 500 mm centres with 10-16 diameter self-drilling screws.</w:t>
      </w:r>
    </w:p>
    <w:bookmarkEnd w:id="175"/>
    <w:bookmarkStart w:name="f-10156-9" w:id="177"/>
    <w:p>
      <w:pPr>
        <w:pStyle w:val="OptionalHeading4"/>
      </w:pPr>
      <w:bookmarkStart w:name="h-10156-9" w:id="178"/>
      <w:r>
        <w:rPr/>
        <w:t xml:space="preserve">Assembly check</w:t>
      </w:r>
      <w:bookmarkEnd w:id="178"/>
    </w:p>
    <w:p>
      <w:pPr>
        <w:pStyle w:val="OptionalNormal"/>
      </w:pPr>
      <w:r>
        <w:rPr/>
        <w:t xml:space="preserve">Trial assembly and temporary erection: </w:t>
      </w:r>
      <w:r>
        <w:fldChar w:fldCharType="begin"/>
        <w:instrText xml:space="preserve"> MACROBUTTON  ac_OnHelp [complete/delete]</w:instrText>
        <w:fldChar w:fldCharType="separate"/>
        <w:t xml:space="preserve"> </w:t>
        <w:fldChar w:fldCharType="end"/>
      </w:r>
    </w:p>
    <w:p>
      <w:pPr>
        <w:pStyle w:val="Instructions"/>
      </w:pPr>
      <w:r>
        <w:rPr/>
        <w:t xml:space="preserve">If a trial assembly and temporary erection of elements of the steelwork is required, include this </w:t>
      </w:r>
      <w:r>
        <w:rPr>
          <w:i/>
        </w:rPr>
        <w:t xml:space="preserve">Optional</w:t>
      </w:r>
      <w:r>
        <w:rPr/>
        <w:t xml:space="preserve"> style text by completing the prompt to nominate the elements requiring a trial assembly and temporary erection and changing to </w:t>
      </w:r>
      <w:r>
        <w:rPr>
          <w:i/>
        </w:rPr>
        <w:t xml:space="preserve">Normal</w:t>
      </w:r>
      <w:r>
        <w:rPr/>
        <w:t xml:space="preserve"> style text.</w:t>
      </w:r>
    </w:p>
    <w:p>
      <w:pPr>
        <w:pStyle w:val="Instructions"/>
      </w:pPr>
      <w:r>
        <w:rPr/>
        <w:t xml:space="preserve">Refer to AS/NZS 5131 (2016) clauses 6.10 and 11.5.10.</w:t>
      </w:r>
    </w:p>
    <w:bookmarkEnd w:id="177"/>
    <w:bookmarkStart w:name="f-10156-10" w:id="179"/>
    <w:p>
      <w:pPr>
        <w:pStyle w:val="Heading3"/>
      </w:pPr>
      <w:bookmarkStart w:name="h-10156-10" w:id="180"/>
      <w:r>
        <w:rPr/>
        <w:t xml:space="preserve">WELDING</w:t>
      </w:r>
      <w:bookmarkEnd w:id="180"/>
    </w:p>
    <w:bookmarkEnd w:id="179"/>
    <w:bookmarkStart w:name="f-10156-11" w:id="181"/>
    <w:p>
      <w:pPr>
        <w:pStyle w:val="Heading4"/>
      </w:pPr>
      <w:bookmarkStart w:name="h-10156-11" w:id="182"/>
      <w:r>
        <w:rPr/>
        <w:t xml:space="preserve">General</w:t>
      </w:r>
      <w:bookmarkEnd w:id="182"/>
    </w:p>
    <w:p>
      <w:pPr>
        <w:pStyle w:val="Body Text"/>
      </w:pPr>
      <w:r>
        <w:rPr/>
        <w:t xml:space="preserve">Requirements: To AS/NZS 5131 (2016) Section 7.</w:t>
      </w:r>
    </w:p>
    <w:p>
      <w:pPr>
        <w:pStyle w:val="Instructions"/>
      </w:pPr>
      <w:r>
        <w:rPr/>
        <w:t xml:space="preserve">In the welding plan include requirements for non-treatment to surfaces affected by stray arc strikes, additional requirements for the dressing of butt welds and acceptance criteria or assessment of non-conformity allowable other than that in the relevant part of the AS/NZS 1554 series.</w:t>
      </w:r>
    </w:p>
    <w:p>
      <w:pPr>
        <w:pStyle w:val="Body Text"/>
      </w:pPr>
      <w:r>
        <w:rPr/>
        <w:t xml:space="preserve">Standard: To AS/NZS 1554.1 (2014).</w:t>
      </w:r>
    </w:p>
    <w:p>
      <w:pPr>
        <w:pStyle w:val="Instructions"/>
      </w:pPr>
      <w:r>
        <w:rPr/>
        <w:t xml:space="preserve">Other parts of AS/NZS 1554 may also need to be referenced e.g. AS 1554.2 (2021) for studs or AS/NZS 1554.5 (2014) for elements subjected to fatigue loading. See also Weld Australia TN11 (2018) for a commentary on the series. Some additional requirements, which may need to be stated in the contract, are discussed in AS/NZS 1554.1 (2014) Appendix D and AS/NZS 1554.5 (2014) Appendix D. Refer to ASI TN008 (2012) for information on welding consumables and design.</w:t>
      </w:r>
    </w:p>
    <w:p>
      <w:pPr>
        <w:pStyle w:val="Instructions"/>
      </w:pPr>
      <w:r>
        <w:rPr/>
        <w:t xml:space="preserve">Document any additional project welding requirements.</w:t>
      </w:r>
    </w:p>
    <w:p>
      <w:pPr>
        <w:pStyle w:val="Instructions"/>
      </w:pPr>
      <w:r>
        <w:rPr/>
        <w:t xml:space="preserve">The ASI recommends that parent steel materials with a chemical composition of total boron equal to or exceeding 0.0008%, require requalification of welding procedures using the higher boron content material. The value of 0.0008% is taken from SA TS 102 (2016), which specifies limits for elements in the chemical composition of structural steel below which they would be considered residual and not intentionally added.</w:t>
      </w:r>
    </w:p>
    <w:bookmarkEnd w:id="181"/>
    <w:bookmarkStart w:name="f-10156-12" w:id="183"/>
    <w:p>
      <w:pPr>
        <w:pStyle w:val="Heading4"/>
      </w:pPr>
      <w:bookmarkStart w:name="h-10156-12" w:id="184"/>
      <w:r>
        <w:rPr/>
        <w:t xml:space="preserve">Weld category</w:t>
      </w:r>
      <w:bookmarkEnd w:id="184"/>
    </w:p>
    <w:p>
      <w:pPr>
        <w:pStyle w:val="Body Text"/>
      </w:pPr>
      <w:r>
        <w:rPr/>
        <w:t xml:space="preserve">Weld categories not documented: Category GP.</w:t>
      </w:r>
    </w:p>
    <w:p>
      <w:pPr>
        <w:pStyle w:val="Instructions"/>
      </w:pPr>
      <w:r>
        <w:rPr/>
        <w:t xml:space="preserve">Document all weld categories on the drawings.</w:t>
      </w:r>
    </w:p>
    <w:bookmarkEnd w:id="183"/>
    <w:bookmarkStart w:name="f-10156-13" w:id="185"/>
    <w:p>
      <w:pPr>
        <w:pStyle w:val="Heading4"/>
      </w:pPr>
      <w:bookmarkStart w:name="h-10156-13" w:id="186"/>
      <w:r>
        <w:rPr/>
        <w:t xml:space="preserve">Weld type</w:t>
      </w:r>
      <w:bookmarkEnd w:id="186"/>
    </w:p>
    <w:p>
      <w:pPr>
        <w:pStyle w:val="Body Text"/>
      </w:pPr>
      <w:r>
        <w:rPr/>
        <w:t xml:space="preserve">Weld type not documented: Prepare proposals for weld type and electrodes.</w:t>
      </w:r>
    </w:p>
    <w:p>
      <w:pPr>
        <w:pStyle w:val="Instructions"/>
      </w:pPr>
      <w:r>
        <w:rPr/>
        <w:t xml:space="preserve">Document all weld types on the drawings.</w:t>
      </w:r>
    </w:p>
    <w:p>
      <w:pPr>
        <w:pStyle w:val="Instructions"/>
      </w:pPr>
      <w:r>
        <w:rPr/>
        <w:t xml:space="preserve">For elements subjected to fatigue loading, refer to AS 4100 (2020) Section 11. Show welding details to AS/NZS 1554.5 (2014) on drawings.</w:t>
      </w:r>
    </w:p>
    <w:p>
      <w:pPr>
        <w:pStyle w:val="Prompt"/>
      </w:pPr>
      <w:r>
        <w:rPr/>
        <w:t xml:space="preserve">Butt weld run-on/run-off tabs: </w:t>
      </w:r>
      <w:r>
        <w:fldChar w:fldCharType="begin"/>
        <w:instrText xml:space="preserve"> MACROBUTTON  ac_OnHelp [complete/delete]</w:instrText>
        <w:fldChar w:fldCharType="separate"/>
        <w:t xml:space="preserve"> </w:t>
        <w:fldChar w:fldCharType="end"/>
      </w:r>
    </w:p>
    <w:p>
      <w:pPr>
        <w:pStyle w:val="Instructions"/>
      </w:pPr>
      <w:r>
        <w:rPr/>
        <w:t xml:space="preserve">Nominate if permitted or not-permitted or nominate in welding plan. Refer to AS/NZS 5131 (2016) clause 7.5.9.1.</w:t>
      </w:r>
    </w:p>
    <w:bookmarkEnd w:id="185"/>
    <w:bookmarkStart w:name="f-10156-14" w:id="187"/>
    <w:p>
      <w:pPr>
        <w:pStyle w:val="Heading4"/>
      </w:pPr>
      <w:bookmarkStart w:name="h-10156-14" w:id="188"/>
      <w:r>
        <w:rPr/>
        <w:t xml:space="preserve">Stress relief treatment</w:t>
      </w:r>
      <w:bookmarkEnd w:id="188"/>
    </w:p>
    <w:p>
      <w:pPr>
        <w:pStyle w:val="Prompt"/>
      </w:pPr>
      <w:r>
        <w:rPr/>
        <w:t xml:space="preserve">Type: </w:t>
      </w:r>
      <w:r>
        <w:fldChar w:fldCharType="begin"/>
        <w:instrText xml:space="preserve"> MACROBUTTON  ac_OnHelp [complete/delete]</w:instrText>
        <w:fldChar w:fldCharType="separate"/>
        <w:t xml:space="preserve"> </w:t>
        <w:fldChar w:fldCharType="end"/>
      </w:r>
    </w:p>
    <w:p>
      <w:pPr>
        <w:pStyle w:val="Instructions"/>
      </w:pPr>
      <w:r>
        <w:rPr/>
        <w:t xml:space="preserve">If required and not shown on the drawings, state here the extent and method (e.g. Post weld heat treatment).</w:t>
      </w:r>
    </w:p>
    <w:bookmarkEnd w:id="187"/>
    <w:bookmarkStart w:name="f-10156-15" w:id="189"/>
    <w:p>
      <w:pPr>
        <w:pStyle w:val="Heading4"/>
      </w:pPr>
      <w:bookmarkStart w:name="h-10156-15" w:id="190"/>
      <w:r>
        <w:rPr/>
        <w:t xml:space="preserve">Non-destructive weld examination (NDE)</w:t>
      </w:r>
      <w:bookmarkEnd w:id="190"/>
    </w:p>
    <w:p>
      <w:pPr>
        <w:pStyle w:val="Body Text"/>
      </w:pPr>
      <w:r>
        <w:rPr/>
        <w:t xml:space="preserve">Extent and type of NDE: To AS/NZS 5131 (2016) Table 13.6.2.2(A).</w:t>
      </w:r>
    </w:p>
    <w:p>
      <w:pPr>
        <w:pStyle w:val="Body Text"/>
      </w:pPr>
      <w:r>
        <w:rPr/>
        <w:t xml:space="preserve">Requirement: To AS/NZS 5131 (2016) clause 13.6.2.</w:t>
      </w:r>
    </w:p>
    <w:p>
      <w:pPr>
        <w:pStyle w:val="Instructions"/>
      </w:pPr>
      <w:r>
        <w:rPr/>
        <w:t xml:space="preserve">AS/NZS 5131 (2016) Tables 13.6.2.2(A) and 13.6.2.2(B) provide recommended extent and type for NDE. If additional NDE is required for seal welds, document requirements here. The ASI suggests that the recommended extent of NDE can be varied both up and down based on results to date.</w:t>
      </w:r>
    </w:p>
    <w:p>
      <w:pPr>
        <w:pStyle w:val="Instructions"/>
      </w:pPr>
      <w:r>
        <w:rPr/>
        <w:t xml:space="preserve">For construction category CC4, nominate the extent and type of NDE here or on the drawings. Structures designed for earthquake design categories D and E to AS 4100 (2020) or AS/NZS 5100.6 (2017) need to meet the requirements of AS/NZS 5131 (2016) Table 13.6.2.2(A) and Table 13.6.2.2(B), whichever is greater.</w:t>
      </w:r>
    </w:p>
    <w:p>
      <w:pPr>
        <w:pStyle w:val="Body Text"/>
      </w:pPr>
      <w:r>
        <w:rPr/>
        <w:t xml:space="preserve">Non-visual NDE: By a third party testing authority.</w:t>
      </w:r>
    </w:p>
    <w:p>
      <w:pPr>
        <w:pStyle w:val="Body Text"/>
      </w:pPr>
      <w:r>
        <w:rPr/>
        <w:t xml:space="preserve">Repairs: Repair welds revealed as faulty by NDE and repeat the examination.</w:t>
      </w:r>
    </w:p>
    <w:p>
      <w:pPr>
        <w:pStyle w:val="Instructions"/>
      </w:pPr>
      <w:r>
        <w:rPr/>
        <w:t xml:space="preserve">If it is acceptable for fracture mechanics, or other suitable methods of assessment, to be used to demonstrate that defects will not be injurious to the performance of the structure, document the methods here. Refer to AS/NZS 5131 (2016) clause 13.6.2.5.</w:t>
      </w:r>
    </w:p>
    <w:p>
      <w:pPr>
        <w:pStyle w:val="Instructions"/>
      </w:pPr>
      <w:r>
        <w:rPr/>
        <w:t xml:space="preserve">If any other testing, such as impact or production testing of welds is required, document requirements here or in welding plan. Refer to AS/NZS 5131 (2016) clause 7.4.</w:t>
      </w:r>
    </w:p>
    <w:bookmarkEnd w:id="189"/>
    <w:bookmarkStart w:name="f-10156-16" w:id="191"/>
    <w:p>
      <w:pPr>
        <w:pStyle w:val="Heading4"/>
      </w:pPr>
      <w:bookmarkStart w:name="h-10156-16" w:id="192"/>
      <w:r>
        <w:rPr/>
        <w:t xml:space="preserve">Site welds</w:t>
      </w:r>
      <w:bookmarkEnd w:id="192"/>
    </w:p>
    <w:p>
      <w:pPr>
        <w:pStyle w:val="Body Text"/>
      </w:pPr>
      <w:r>
        <w:rPr/>
        <w:t xml:space="preserve">Completion: Weld only when correct alignment and preset or camber have been achieved.</w:t>
      </w:r>
    </w:p>
    <w:bookmarkEnd w:id="191"/>
    <w:bookmarkStart w:name="f-10156-17" w:id="193"/>
    <w:p>
      <w:pPr>
        <w:pStyle w:val="Heading3"/>
      </w:pPr>
      <w:bookmarkStart w:name="h-10156-17" w:id="194"/>
      <w:r>
        <w:rPr/>
        <w:t xml:space="preserve">MECHANICAL FASTENING</w:t>
      </w:r>
      <w:bookmarkEnd w:id="194"/>
    </w:p>
    <w:bookmarkEnd w:id="193"/>
    <w:bookmarkStart w:name="f-10156-18" w:id="195"/>
    <w:p>
      <w:pPr>
        <w:pStyle w:val="Heading4"/>
      </w:pPr>
      <w:bookmarkStart w:name="h-10156-18" w:id="196"/>
      <w:r>
        <w:rPr/>
        <w:t xml:space="preserve">Connection contact surfaces</w:t>
      </w:r>
      <w:bookmarkEnd w:id="196"/>
    </w:p>
    <w:p>
      <w:pPr>
        <w:pStyle w:val="Body Text"/>
      </w:pPr>
      <w:r>
        <w:rPr/>
        <w:t xml:space="preserve">General: To AS/NZS 5131 (2016) clause 8.4.1.</w:t>
      </w:r>
    </w:p>
    <w:p>
      <w:pPr>
        <w:pStyle w:val="Body Text"/>
      </w:pPr>
      <w:r>
        <w:rPr/>
        <w:t xml:space="preserve">Bolting categories 8.8/TF and 10.9/TF: Clean, as rolled and free from applied finishes.</w:t>
      </w:r>
    </w:p>
    <w:p>
      <w:pPr>
        <w:pStyle w:val="Instructions"/>
      </w:pPr>
      <w:r>
        <w:rPr/>
        <w:t xml:space="preserve">Document friction-type (TF) connections on the drawings. Refer to AS/NZS 5131 (2016) clause 8.4.2.</w:t>
      </w:r>
    </w:p>
    <w:p>
      <w:pPr>
        <w:pStyle w:val="Instructions"/>
      </w:pPr>
      <w:r>
        <w:rPr/>
        <w:t xml:space="preserve">Refer to AS 4100 (2020) clause 9.2.3.2 and Appendix J for testing requirements when applied finishes or other surface conditions are specified for the contact surface.</w:t>
      </w:r>
    </w:p>
    <w:bookmarkEnd w:id="195"/>
    <w:bookmarkStart w:name="f-10156-19" w:id="197"/>
    <w:p>
      <w:pPr>
        <w:pStyle w:val="Heading4"/>
      </w:pPr>
      <w:bookmarkStart w:name="h-10156-19" w:id="198"/>
      <w:r>
        <w:rPr/>
        <w:t xml:space="preserve">Washers</w:t>
      </w:r>
      <w:bookmarkEnd w:id="198"/>
    </w:p>
    <w:p>
      <w:pPr>
        <w:pStyle w:val="Body Text"/>
      </w:pPr>
      <w:r>
        <w:rPr/>
        <w:t xml:space="preserve">Requirement: Place one washer under the part rotated during tightening process (nut or bolt head).</w:t>
      </w:r>
    </w:p>
    <w:p>
      <w:pPr>
        <w:pStyle w:val="Instructions"/>
      </w:pPr>
      <w:r>
        <w:rPr/>
        <w:t xml:space="preserve">To limit the need for touch up of paint damaged by the tightening process, a washer may be placed under both the nut and the bolt head. If required, edit text above. Refer to AS/NZS 5131 (2016) clause 8.2.4.</w:t>
      </w:r>
    </w:p>
    <w:bookmarkEnd w:id="197"/>
    <w:bookmarkStart w:name="f-10156-20" w:id="199"/>
    <w:p>
      <w:pPr>
        <w:pStyle w:val="OptionalHeading4"/>
      </w:pPr>
      <w:bookmarkStart w:name="h-10156-20" w:id="200"/>
      <w:r>
        <w:rPr/>
        <w:t xml:space="preserve">Lock nuts</w:t>
      </w:r>
      <w:bookmarkEnd w:id="200"/>
    </w:p>
    <w:p>
      <w:pPr>
        <w:pStyle w:val="OptionalNormal"/>
      </w:pPr>
      <w:r>
        <w:rPr/>
        <w:t xml:space="preserve">General: Provide lock nuts to AS/NZS 5131 (2016) clause 8.2.3 for bolts in moving parts or parts subject to vibration and for vertical bolts in tension.</w:t>
      </w:r>
    </w:p>
    <w:p>
      <w:pPr>
        <w:pStyle w:val="Instructions"/>
      </w:pPr>
      <w:r>
        <w:rPr/>
        <w:t xml:space="preserve">If lock nuts are required, include this </w:t>
      </w:r>
      <w:r>
        <w:rPr>
          <w:i/>
        </w:rPr>
        <w:t xml:space="preserve">Optiona</w:t>
      </w:r>
      <w:r>
        <w:rPr/>
        <w:t xml:space="preserve">l style text by changing to </w:t>
      </w:r>
      <w:r>
        <w:rPr>
          <w:i/>
        </w:rPr>
        <w:t xml:space="preserve">Normal</w:t>
      </w:r>
      <w:r>
        <w:rPr/>
        <w:t xml:space="preserve"> style text. Edit text as necessary and show position of lock nuts on drawings. Lock nuts should not be required for tensioned connections.</w:t>
      </w:r>
    </w:p>
    <w:bookmarkEnd w:id="199"/>
    <w:bookmarkStart w:name="f-10156-21" w:id="201"/>
    <w:p>
      <w:pPr>
        <w:pStyle w:val="Heading4"/>
      </w:pPr>
      <w:bookmarkStart w:name="h-10156-21" w:id="202"/>
      <w:r>
        <w:rPr/>
        <w:t xml:space="preserve">Method of tensioning TB and TF bolting categories</w:t>
      </w:r>
      <w:bookmarkEnd w:id="202"/>
    </w:p>
    <w:p>
      <w:pPr>
        <w:pStyle w:val="Body Text"/>
      </w:pPr>
      <w:r>
        <w:rPr/>
        <w:t xml:space="preserve">8.8/TB and 8.8/TF: Use part-turn method or a direct tension indicator device.</w:t>
      </w:r>
    </w:p>
    <w:p>
      <w:pPr>
        <w:pStyle w:val="Body Text"/>
      </w:pPr>
      <w:r>
        <w:rPr/>
        <w:t xml:space="preserve">10.9/TB and 10.9/TF: Use a direct tension indicator device.</w:t>
      </w:r>
    </w:p>
    <w:p>
      <w:pPr>
        <w:pStyle w:val="Instructions"/>
      </w:pPr>
      <w:r>
        <w:rPr/>
        <w:t xml:space="preserve">Refer to AS/NZS 5131 (2016) clause 8.5. If the part-turn method is being used, nominate if permanent location marks are required for later inspection. </w:t>
      </w:r>
    </w:p>
    <w:p>
      <w:pPr>
        <w:pStyle w:val="Instructions"/>
      </w:pPr>
      <w:r>
        <w:rPr/>
        <w:t xml:space="preserve">AS/NZS 5131 (2016) clause 8.5.5 states that the part-turn method of tensioning shall not be utilized for Grade 10.9 bolts unless the suitability of the method to develop the minimum bolt tension has been ascertained. If previously ascertained, edit text above to allow the part-turn method for Grade 10.9 bolts also.</w:t>
      </w:r>
    </w:p>
    <w:bookmarkEnd w:id="201"/>
    <w:bookmarkStart w:name="f-10156-22" w:id="203"/>
    <w:p>
      <w:pPr>
        <w:pStyle w:val="Heading4"/>
      </w:pPr>
      <w:bookmarkStart w:name="h-10156-22" w:id="204"/>
      <w:r>
        <w:rPr/>
        <w:t xml:space="preserve">Permanent bolting</w:t>
      </w:r>
      <w:bookmarkEnd w:id="204"/>
    </w:p>
    <w:p>
      <w:pPr>
        <w:pStyle w:val="Body Text"/>
      </w:pPr>
      <w:r>
        <w:rPr/>
        <w:t xml:space="preserve">Completion: Bolt only when correct alignment and preset or camber has been achieved.</w:t>
      </w:r>
    </w:p>
    <w:bookmarkEnd w:id="203"/>
    <w:bookmarkStart w:name="f-10156-23" w:id="205"/>
    <w:p>
      <w:pPr>
        <w:pStyle w:val="Heading3"/>
      </w:pPr>
      <w:bookmarkStart w:name="h-10156-23" w:id="206"/>
      <w:r>
        <w:rPr/>
        <w:t xml:space="preserve">SURFACE PREPARATION AND TREATMENT</w:t>
      </w:r>
      <w:bookmarkEnd w:id="206"/>
    </w:p>
    <w:bookmarkEnd w:id="205"/>
    <w:bookmarkStart w:name="f-10156-24" w:id="207"/>
    <w:p>
      <w:pPr>
        <w:pStyle w:val="Heading4"/>
      </w:pPr>
      <w:bookmarkStart w:name="h-10156-24" w:id="208"/>
      <w:r>
        <w:rPr/>
        <w:t xml:space="preserve">General</w:t>
      </w:r>
      <w:bookmarkEnd w:id="208"/>
    </w:p>
    <w:p>
      <w:pPr>
        <w:pStyle w:val="Body Text"/>
      </w:pPr>
      <w:r>
        <w:rPr/>
        <w:t xml:space="preserve">Requirement: Conform to </w:t>
      </w:r>
      <w:r>
        <w:rPr>
          <w:i/>
        </w:rPr>
        <w:t xml:space="preserve">0344 Steel - hot-dip galvanized coatings</w:t>
      </w:r>
      <w:r>
        <w:rPr/>
        <w:t xml:space="preserve"> and/or </w:t>
      </w:r>
      <w:r>
        <w:rPr>
          <w:i/>
        </w:rPr>
        <w:t xml:space="preserve">0345 Steel - protective paint coatings</w:t>
      </w:r>
      <w:r>
        <w:rPr/>
        <w:t xml:space="preserve">, as appropriate.</w:t>
      </w:r>
    </w:p>
    <w:p>
      <w:pPr>
        <w:pStyle w:val="Instructions"/>
      </w:pPr>
      <w:r>
        <w:rPr/>
        <w:t xml:space="preserve">For guidance on steel corrosion, coatings, and design and detailing for corrosion protection, refer to the ASI </w:t>
      </w:r>
      <w:r>
        <w:rPr>
          <w:i/>
        </w:rPr>
        <w:t xml:space="preserve">Australian steelwork corrosion and coatings guide (2015)</w:t>
      </w:r>
      <w:r>
        <w:rPr/>
        <w:t xml:space="preserve"> and </w:t>
      </w:r>
      <w:r>
        <w:rPr>
          <w:i/>
        </w:rPr>
        <w:t xml:space="preserve">ASI Journal Steel construction (2015) (Volume 47 Number 2)</w:t>
      </w:r>
      <w:r>
        <w:rPr/>
        <w:t xml:space="preserve">.</w:t>
      </w:r>
    </w:p>
    <w:p>
      <w:pPr>
        <w:pStyle w:val="Instructions"/>
      </w:pPr>
      <w:r>
        <w:rPr/>
        <w:t xml:space="preserve">If no surface preparation or treatment is considered necessary, delete text above and state that no surface preparation or treatment is required.</w:t>
      </w:r>
    </w:p>
    <w:bookmarkEnd w:id="207"/>
    <w:bookmarkStart w:name="f-10156-25" w:id="209"/>
    <w:p>
      <w:pPr>
        <w:pStyle w:val="OptionalHeading4"/>
      </w:pPr>
      <w:bookmarkStart w:name="h-10156-25" w:id="210"/>
      <w:r>
        <w:rPr/>
        <w:t xml:space="preserve">General</w:t>
      </w:r>
      <w:bookmarkEnd w:id="210"/>
    </w:p>
    <w:p>
      <w:pPr>
        <w:pStyle w:val="OptionalNormal"/>
      </w:pPr>
      <w:r>
        <w:rPr/>
        <w:t xml:space="preserve">Requirement: Coat structural steelwork not encased in concrete.</w:t>
      </w:r>
    </w:p>
    <w:p>
      <w:pPr>
        <w:pStyle w:val="Instructions"/>
      </w:pPr>
      <w:r>
        <w:rPr/>
        <w:t xml:space="preserve">There are situations where coating steelwork to protect against damaging corrosion is neither necessary nor economically feasible, such as where anticipated corrosion rates are too low to compromise the structure, steelwork is to be encased for fire-resistance or sacrificial corrosion of sections has been allowed for in the selection of section thicknesses. AS/NZS 2312.2 (2014) clause 6.1 discusses when coating may not be required and AS 2312.1 (2014) clause 1.2 lists typical situations for which coating for corrosion resistance is not required. It also lists reasons other than protection for which steelwork may be surface treated, including aesthetics.</w:t>
      </w:r>
    </w:p>
    <w:p>
      <w:pPr>
        <w:pStyle w:val="Instructions"/>
      </w:pPr>
      <w:r>
        <w:rPr/>
        <w:t xml:space="preserve">For these situations replace the </w:t>
      </w:r>
      <w:r>
        <w:rPr>
          <w:b/>
        </w:rPr>
        <w:t xml:space="preserve">General</w:t>
      </w:r>
      <w:r>
        <w:rPr/>
        <w:t xml:space="preserve"> subclause above, with this </w:t>
      </w:r>
      <w:r>
        <w:rPr>
          <w:i/>
        </w:rPr>
        <w:t xml:space="preserve">Optional</w:t>
      </w:r>
      <w:r>
        <w:rPr/>
        <w:t xml:space="preserve"> style text.</w:t>
      </w:r>
    </w:p>
    <w:p>
      <w:pPr>
        <w:pStyle w:val="OptionalNormal"/>
      </w:pPr>
      <w:r>
        <w:rPr/>
        <w:t xml:space="preserve">Treatment grade to AS/NZS 5131 (2016): </w:t>
      </w:r>
      <w:r>
        <w:fldChar w:fldCharType="begin"/>
        <w:instrText xml:space="preserve"> MACROBUTTON  ac_OnHelp [complete/delete]</w:instrText>
        <w:fldChar w:fldCharType="separate"/>
        <w:t xml:space="preserve"> </w:t>
        <w:fldChar w:fldCharType="end"/>
      </w:r>
    </w:p>
    <w:p>
      <w:pPr>
        <w:pStyle w:val="Instructions"/>
      </w:pPr>
      <w:r>
        <w:rPr/>
        <w:t xml:space="preserve">Nominate required treatment grade. See AS/NZS 5131 (2016) clauses 4.1.3 and 9.8.4 to determine the treatment grade (P1 to P3). Generally, treatment grade P2 applies for painting. Treatment grade P3 would generally apply for AESS. See AS 8501.3 (2022) Table 1 for illustrations of imperfections, and requirements for each treatment grade.</w:t>
      </w:r>
    </w:p>
    <w:p>
      <w:pPr>
        <w:pStyle w:val="OptionalNormal"/>
      </w:pPr>
      <w:r>
        <w:rPr/>
        <w:t xml:space="preserve">Surface preparation: To AS/NZS 5131 (2016) clause 9.3.2.</w:t>
      </w:r>
    </w:p>
    <w:p>
      <w:pPr>
        <w:pStyle w:val="OptionalNormal"/>
      </w:pPr>
      <w:r>
        <w:rPr/>
        <w:t xml:space="preserve">Abrasive blasting to AS 1627.4 (2005): Blast as follows:</w:t>
      </w:r>
    </w:p>
    <w:p>
      <w:pPr>
        <w:pStyle w:val="OptionalNormalIndent"/>
      </w:pPr>
      <w:r>
        <w:rPr/>
        <w:t xml:space="preserve">AESS: Class 2 blast and to the requirements of AS/NZS 5131 (2016) Section 10.</w:t>
      </w:r>
    </w:p>
    <w:p>
      <w:pPr>
        <w:pStyle w:val="OptionalNormalIndent"/>
      </w:pPr>
      <w:r>
        <w:rPr/>
        <w:t xml:space="preserve">Other steelwork: Class 1 blast.</w:t>
      </w:r>
    </w:p>
    <w:p>
      <w:pPr>
        <w:pStyle w:val="Instructions"/>
      </w:pPr>
      <w:r>
        <w:rPr/>
        <w:t xml:space="preserve">Edit to suit anticipated equipment availability e.g. power wire brush in lieu of blasting.</w:t>
      </w:r>
    </w:p>
    <w:bookmarkEnd w:id="209"/>
    <w:bookmarkStart w:name="f-10156-52" w:id="211"/>
    <w:p>
      <w:pPr>
        <w:pStyle w:val="OptionalNormal"/>
      </w:pPr>
      <w:r>
        <w:rPr/>
        <w:t xml:space="preserve">Coating: Coat prepared steelwork to AS/NZS 5131 (2016) clause 9.9 and as follows:</w:t>
      </w:r>
    </w:p>
    <w:p>
      <w:pPr>
        <w:pStyle w:val="OptionalNormalIndent"/>
      </w:pPr>
      <w:r>
        <w:rPr/>
        <w:t xml:space="preserve">Primer: Zinc phosphate primer.</w:t>
      </w:r>
    </w:p>
    <w:p>
      <w:pPr>
        <w:pStyle w:val="Instructions"/>
      </w:pPr>
      <w:r>
        <w:rPr/>
        <w:t xml:space="preserve">If a particular colour or manufacturer is required, enter details here.</w:t>
      </w:r>
    </w:p>
    <w:p>
      <w:pPr>
        <w:pStyle w:val="OptionalNormalIndent"/>
      </w:pPr>
      <w:r>
        <w:rPr/>
        <w:t xml:space="preserve">Thickness: 75 µm. Verify and record thickness.</w:t>
      </w:r>
    </w:p>
    <w:p>
      <w:pPr>
        <w:pStyle w:val="Instructions"/>
      </w:pPr>
      <w:r>
        <w:rPr/>
        <w:t xml:space="preserve">Edit default thickness if necessary.</w:t>
      </w:r>
    </w:p>
    <w:p>
      <w:pPr>
        <w:pStyle w:val="OptionalNormalIndent"/>
      </w:pPr>
      <w:r>
        <w:rPr/>
        <w:t xml:space="preserve">Time delay: Prime the steel surface as soon as possible after surface preparation (maximum 4 hours if outdoors) and before the surface deteriorates. If the surface is contaminated or rust bloomed, repeat surface preparation before priming.</w:t>
      </w:r>
    </w:p>
    <w:p>
      <w:pPr>
        <w:pStyle w:val="OptionalNormalIndent"/>
      </w:pPr>
      <w:r>
        <w:rPr/>
        <w:t xml:space="preserve">Concrete encasing: Where members are to be part concrete encased, extend the priming 50 mm into the surface to be encased.</w:t>
      </w:r>
    </w:p>
    <w:p>
      <w:pPr>
        <w:pStyle w:val="OptionalNormalIndent"/>
      </w:pPr>
      <w:r>
        <w:rPr/>
        <w:t xml:space="preserve">Clearances: Keep priming clear of members and components to be site welded, and surfaces against which concrete is to be poured (including concrete encasing except as noted above). On completion of site welding, of concrete pouring and of 8.8/TF and 10.9/TF bolting, prime to completely cover exposed surfaces.</w:t>
      </w:r>
    </w:p>
    <w:p>
      <w:pPr>
        <w:pStyle w:val="OptionalNormalIndent"/>
      </w:pPr>
      <w:r>
        <w:rPr/>
        <w:t xml:space="preserve">Inaccessible surfaces: Where surfaces will be in contact or near contact after fabrication or erection, apply the finish and allow it to dry before assembly.</w:t>
      </w:r>
    </w:p>
    <w:p>
      <w:pPr>
        <w:pStyle w:val="OptionalNormal"/>
      </w:pPr>
      <w:r>
        <w:rPr/>
        <w:t xml:space="preserve">Marking: On the contact surfaces of friction type joints, minimise the use of marking ink for marking hole positions.</w:t>
      </w:r>
    </w:p>
    <w:p>
      <w:pPr>
        <w:pStyle w:val="OptionalNormal"/>
      </w:pPr>
      <w:r>
        <w:rPr/>
        <w:t xml:space="preserve">Shop work: Where possible, apply the primer to the structural steel before delivery to the site.</w:t>
      </w:r>
    </w:p>
    <w:p>
      <w:pPr>
        <w:pStyle w:val="OptionalNormal"/>
      </w:pPr>
      <w:r>
        <w:rPr/>
        <w:t xml:space="preserve">Transport and handling: Do not damage the paintwork.</w:t>
      </w:r>
    </w:p>
    <w:p>
      <w:pPr>
        <w:pStyle w:val="Instructions"/>
      </w:pPr>
      <w:r>
        <w:rPr/>
        <w:t xml:space="preserve">Specify the desired result or outcome, leaving the method (e.g. protection, waiting until the paint is dry) up to the contractor.</w:t>
      </w:r>
    </w:p>
    <w:p>
      <w:pPr>
        <w:pStyle w:val="OptionalNormal"/>
      </w:pPr>
      <w:r>
        <w:rPr/>
        <w:t xml:space="preserve">Site work: After erection, repair damage to the shop coating and apply any coating omitted at site connections.</w:t>
      </w:r>
    </w:p>
    <w:p>
      <w:pPr>
        <w:pStyle w:val="Instructions"/>
      </w:pPr>
      <w:r>
        <w:rPr/>
        <w:t xml:space="preserve">Decorative finishes, and on-site touch up to the paint coatings specified here, are covered in </w:t>
      </w:r>
      <w:r>
        <w:rPr>
          <w:i/>
        </w:rPr>
        <w:t xml:space="preserve">0671 Painting</w:t>
      </w:r>
      <w:r>
        <w:rPr/>
        <w:t xml:space="preserve">.</w:t>
      </w:r>
    </w:p>
    <w:p>
      <w:pPr>
        <w:pStyle w:val="Instructions"/>
      </w:pPr>
      <w:r>
        <w:rPr/>
        <w:t xml:space="preserve">Refer also to </w:t>
      </w:r>
      <w:r>
        <w:rPr>
          <w:i/>
        </w:rPr>
        <w:t xml:space="preserve">0183 Metals and prefinishes</w:t>
      </w:r>
      <w:r>
        <w:rPr/>
        <w:t xml:space="preserve">.</w:t>
      </w:r>
    </w:p>
    <w:bookmarkEnd w:id="211"/>
    <w:bookmarkStart w:name="f-10156-26" w:id="212"/>
    <w:p>
      <w:pPr>
        <w:pStyle w:val="Heading3"/>
      </w:pPr>
      <w:bookmarkStart w:name="h-10156-26" w:id="213"/>
      <w:r>
        <w:rPr/>
        <w:t xml:space="preserve">SPECIAL FINISHES</w:t>
      </w:r>
      <w:bookmarkEnd w:id="213"/>
    </w:p>
    <w:bookmarkEnd w:id="212"/>
    <w:bookmarkStart w:name="f-10156-27" w:id="214"/>
    <w:p>
      <w:pPr>
        <w:pStyle w:val="Heading4"/>
      </w:pPr>
      <w:bookmarkStart w:name="h-10156-27" w:id="215"/>
      <w:r>
        <w:rPr/>
        <w:t xml:space="preserve">General</w:t>
      </w:r>
      <w:bookmarkEnd w:id="215"/>
    </w:p>
    <w:p>
      <w:pPr>
        <w:pStyle w:val="Body Text"/>
      </w:pPr>
      <w:r>
        <w:rPr/>
        <w:t xml:space="preserve">Requirement: Apply special finishes, as documented.</w:t>
      </w:r>
    </w:p>
    <w:p>
      <w:pPr>
        <w:pStyle w:val="Instructions"/>
      </w:pPr>
      <w:r>
        <w:rPr/>
        <w:t xml:space="preserve">Document requirements in the </w:t>
      </w:r>
      <w:r>
        <w:rPr>
          <w:b/>
        </w:rPr>
        <w:t xml:space="preserve">Special finishes schedule</w:t>
      </w:r>
      <w:r>
        <w:rPr/>
        <w:t xml:space="preserve">. This clause can be applied if surfaces of steel members or welds are to be dressed after fabrication for appearance or other purposes. Such finishes are generally assessed by comparing to a sample. They would typically be surfaces of steel members or welds to be dressed by abrasive blasting or grinding, either for appearance or as part of a connecting or contact surface.</w:t>
      </w:r>
    </w:p>
    <w:p>
      <w:pPr>
        <w:pStyle w:val="Instructions"/>
      </w:pPr>
      <w:r>
        <w:rPr/>
        <w:t xml:space="preserve">It is preferable to document these requirements on the drawings. If the special finishes require the steelwork to be classified as AESS, then document the requirements in </w:t>
      </w:r>
      <w:r>
        <w:rPr>
          <w:b/>
        </w:rPr>
        <w:t xml:space="preserve">ARCHITECTURALLY EXPOSED STRUCTURAL STEELWORK</w:t>
      </w:r>
      <w:r>
        <w:rPr/>
        <w:t xml:space="preserve">. Edit or delete the </w:t>
      </w:r>
      <w:r>
        <w:rPr>
          <w:b/>
        </w:rPr>
        <w:t xml:space="preserve">Special finishes schedule</w:t>
      </w:r>
      <w:r>
        <w:rPr/>
        <w:t xml:space="preserve">, as required. If deleted, also remove all reference to the </w:t>
      </w:r>
      <w:r>
        <w:rPr>
          <w:b/>
        </w:rPr>
        <w:t xml:space="preserve">Special finishes schedule</w:t>
      </w:r>
      <w:r>
        <w:rPr/>
        <w:t xml:space="preserve"> in the worksection.</w:t>
      </w:r>
    </w:p>
    <w:bookmarkEnd w:id="214"/>
    <w:bookmarkStart w:name="f-10156-28" w:id="216"/>
    <w:p>
      <w:pPr>
        <w:pStyle w:val="Heading3"/>
      </w:pPr>
      <w:bookmarkStart w:name="h-10156-28" w:id="217"/>
      <w:r>
        <w:rPr/>
        <w:t xml:space="preserve">METAL SPRAYING</w:t>
      </w:r>
      <w:bookmarkEnd w:id="217"/>
    </w:p>
    <w:bookmarkEnd w:id="216"/>
    <w:bookmarkStart w:name="f-10156-29" w:id="218"/>
    <w:p>
      <w:pPr>
        <w:pStyle w:val="Heading4"/>
      </w:pPr>
      <w:bookmarkStart w:name="h-10156-29" w:id="219"/>
      <w:r>
        <w:rPr/>
        <w:t xml:space="preserve">General</w:t>
      </w:r>
      <w:bookmarkEnd w:id="219"/>
    </w:p>
    <w:p>
      <w:pPr>
        <w:pStyle w:val="Body Text"/>
      </w:pPr>
      <w:r>
        <w:rPr/>
        <w:t xml:space="preserve">Standard: To ISO 2063-2 (2017).</w:t>
      </w:r>
    </w:p>
    <w:p>
      <w:pPr>
        <w:pStyle w:val="Body Text"/>
      </w:pPr>
      <w:r>
        <w:rPr/>
        <w:t xml:space="preserve">Requirement: Apply sprayed metal, as documented.</w:t>
      </w:r>
    </w:p>
    <w:p>
      <w:pPr>
        <w:pStyle w:val="Instructions"/>
      </w:pPr>
      <w:r>
        <w:rPr/>
        <w:t xml:space="preserve">Document requirements in the </w:t>
      </w:r>
      <w:r>
        <w:rPr>
          <w:b/>
        </w:rPr>
        <w:t xml:space="preserve">Metal spray schedule</w:t>
      </w:r>
      <w:r>
        <w:rPr/>
        <w:t xml:space="preserve">.</w:t>
      </w:r>
    </w:p>
    <w:p>
      <w:pPr>
        <w:pStyle w:val="Body Text"/>
      </w:pPr>
      <w:r>
        <w:rPr/>
        <w:t xml:space="preserve">Process: Electric arc.</w:t>
      </w:r>
    </w:p>
    <w:p>
      <w:pPr>
        <w:pStyle w:val="Body Text"/>
      </w:pPr>
      <w:r>
        <w:rPr/>
        <w:t xml:space="preserve">Application: Apply the coating as soon as possible after blasting.</w:t>
      </w:r>
    </w:p>
    <w:p>
      <w:pPr>
        <w:pStyle w:val="Instructions"/>
      </w:pPr>
      <w:r>
        <w:rPr/>
        <w:t xml:space="preserve">Delete clause and </w:t>
      </w:r>
      <w:r>
        <w:rPr>
          <w:b/>
        </w:rPr>
        <w:t xml:space="preserve">Metal spray schedule</w:t>
      </w:r>
      <w:r>
        <w:rPr/>
        <w:t xml:space="preserve"> if no metal spray finishes are required.</w:t>
      </w:r>
    </w:p>
    <w:bookmarkEnd w:id="218"/>
    <w:bookmarkStart w:name="f-10156-30" w:id="220"/>
    <w:p>
      <w:pPr>
        <w:pStyle w:val="Heading3"/>
      </w:pPr>
      <w:bookmarkStart w:name="h-10156-30" w:id="221"/>
      <w:r>
        <w:rPr/>
        <w:t xml:space="preserve">FIRE PROTECTION COATINGS</w:t>
      </w:r>
      <w:bookmarkEnd w:id="221"/>
    </w:p>
    <w:bookmarkEnd w:id="220"/>
    <w:bookmarkStart w:name="f-10156-31" w:id="222"/>
    <w:p>
      <w:pPr>
        <w:pStyle w:val="Heading4"/>
      </w:pPr>
      <w:bookmarkStart w:name="h-10156-31" w:id="223"/>
      <w:r>
        <w:rPr/>
        <w:t xml:space="preserve">General</w:t>
      </w:r>
      <w:bookmarkEnd w:id="223"/>
    </w:p>
    <w:p>
      <w:pPr>
        <w:pStyle w:val="Body Text"/>
      </w:pPr>
      <w:r>
        <w:rPr/>
        <w:t xml:space="preserve">Requirement: Apply fire protection to structural steelwork to </w:t>
      </w:r>
      <w:r>
        <w:rPr>
          <w:i/>
        </w:rPr>
        <w:t xml:space="preserve">0346 Structural fire protection systems</w:t>
      </w:r>
      <w:r>
        <w:rPr/>
        <w:t xml:space="preserve">.</w:t>
      </w:r>
    </w:p>
    <w:p>
      <w:pPr>
        <w:pStyle w:val="Instructions"/>
      </w:pPr>
      <w:r>
        <w:rPr/>
        <w:t xml:space="preserve">Make sure </w:t>
      </w:r>
      <w:r>
        <w:rPr>
          <w:i/>
        </w:rPr>
        <w:t xml:space="preserve">0346 Structural fire protection systems</w:t>
      </w:r>
      <w:r>
        <w:rPr/>
        <w:t xml:space="preserve"> is included in the specification. Delete this clause if fire protection is not required.</w:t>
      </w:r>
    </w:p>
    <w:bookmarkEnd w:id="222"/>
    <w:bookmarkStart w:name="f-10156-32" w:id="224"/>
    <w:p>
      <w:pPr>
        <w:pStyle w:val="Heading3"/>
      </w:pPr>
      <w:bookmarkStart w:name="h-10156-32" w:id="225"/>
      <w:r>
        <w:rPr/>
        <w:t xml:space="preserve">ARCHITECTURALLY EXPOSED STRUCTURAL STEELWORK</w:t>
      </w:r>
      <w:bookmarkEnd w:id="225"/>
    </w:p>
    <w:p>
      <w:pPr>
        <w:pStyle w:val="Instructions"/>
      </w:pPr>
      <w:r>
        <w:rPr/>
        <w:t xml:space="preserve">Delete this clause and any other reference to AESS within this worksection if AESS is not proposed.</w:t>
      </w:r>
    </w:p>
    <w:bookmarkEnd w:id="224"/>
    <w:bookmarkStart w:name="f-10156-33" w:id="226"/>
    <w:p>
      <w:pPr>
        <w:pStyle w:val="Heading4"/>
      </w:pPr>
      <w:bookmarkStart w:name="h-10156-33" w:id="227"/>
      <w:r>
        <w:rPr/>
        <w:t xml:space="preserve">General</w:t>
      </w:r>
      <w:bookmarkEnd w:id="227"/>
    </w:p>
    <w:p>
      <w:pPr>
        <w:pStyle w:val="Body Text"/>
      </w:pPr>
      <w:r>
        <w:rPr/>
        <w:t xml:space="preserve">Requirement: Provide AESS to AS/NZS 5131 (2016) Section 10 and as documented.</w:t>
      </w:r>
    </w:p>
    <w:p>
      <w:pPr>
        <w:pStyle w:val="Instructions"/>
      </w:pPr>
      <w:r>
        <w:rPr/>
        <w:t xml:space="preserve">It is preferable to document AESS requirements on the drawings. Edit or delete the </w:t>
      </w:r>
      <w:r>
        <w:rPr>
          <w:b/>
        </w:rPr>
        <w:t xml:space="preserve">AESS schedule</w:t>
      </w:r>
      <w:r>
        <w:rPr/>
        <w:t xml:space="preserve">, as required.</w:t>
      </w:r>
    </w:p>
    <w:p>
      <w:pPr>
        <w:pStyle w:val="Instructions"/>
      </w:pPr>
      <w:r>
        <w:rPr/>
        <w:t xml:space="preserve">For further guidance, see the ASI and the ASI </w:t>
      </w:r>
      <w:r>
        <w:rPr>
          <w:i/>
        </w:rPr>
        <w:t xml:space="preserve">AESS Sample specification (for engineers) (2012)</w:t>
      </w:r>
      <w:r>
        <w:rPr/>
        <w:t xml:space="preserve">. These are available to download from the ASI website </w:t>
      </w:r>
      <w:r>
        <w:fldChar w:fldCharType="begin"/>
      </w:r>
      <w:r>
        <w:instrText xml:space="preserve"> HYPERLINK "https://www.steel.org.au/" </w:instrText>
      </w:r>
      <w:r>
        <w:fldChar w:fldCharType="separate"/>
      </w:r>
      <w:r>
        <w:rPr>
          <w:rStyle w:val="Hyperlink"/>
        </w:rPr>
        <w:t>www.steel.org.au</w:t>
      </w:r>
      <w:r>
        <w:fldChar w:fldCharType="end"/>
      </w:r>
      <w:r>
        <w:rPr/>
        <w:t xml:space="preserve">.</w:t>
      </w:r>
    </w:p>
    <w:bookmarkEnd w:id="226"/>
    <w:bookmarkStart w:name="f-10156-34" w:id="228"/>
    <w:p>
      <w:pPr>
        <w:pStyle w:val="Heading4"/>
      </w:pPr>
      <w:bookmarkStart w:name="h-10156-34" w:id="229"/>
      <w:r>
        <w:rPr/>
        <w:t xml:space="preserve">AESS category</w:t>
      </w:r>
      <w:bookmarkEnd w:id="229"/>
    </w:p>
    <w:p>
      <w:pPr>
        <w:pStyle w:val="Prompt"/>
      </w:pPr>
      <w:r>
        <w:rPr/>
        <w:t xml:space="preserve">AESS category to AS/NZS 5131 (2016) clause 10.2: </w:t>
      </w:r>
      <w:r>
        <w:fldChar w:fldCharType="begin"/>
        <w:instrText xml:space="preserve"> MACROBUTTON  ac_OnHelp [complete/delete]</w:instrText>
        <w:fldChar w:fldCharType="separate"/>
        <w:t xml:space="preserve"> </w:t>
        <w:fldChar w:fldCharType="end"/>
      </w:r>
    </w:p>
    <w:p>
      <w:pPr>
        <w:pStyle w:val="Instructions"/>
      </w:pPr>
      <w:r>
        <w:rPr/>
        <w:t xml:space="preserve">Clearly indicate all AESS on the drawings. If more than one AESS category is proposed, indicate locations on drawings and list additional requirements for each location either on the drawings or in the </w:t>
      </w:r>
      <w:r>
        <w:rPr>
          <w:b/>
        </w:rPr>
        <w:t xml:space="preserve">AESS schedule</w:t>
      </w:r>
      <w:r>
        <w:rPr/>
        <w:t xml:space="preserve">.</w:t>
      </w:r>
    </w:p>
    <w:p>
      <w:pPr>
        <w:pStyle w:val="Instructions"/>
      </w:pPr>
      <w:r>
        <w:rPr/>
        <w:t xml:space="preserve">AESS categories:</w:t>
      </w:r>
    </w:p>
    <w:p>
      <w:pPr>
        <w:pStyle w:val="Instructionsindent"/>
      </w:pPr>
      <w:r>
        <w:rPr/>
        <w:t xml:space="preserve">AESS 1: Basic elements requiring enhanced workmanship.</w:t>
      </w:r>
    </w:p>
    <w:p>
      <w:pPr>
        <w:pStyle w:val="Instructionsindent"/>
      </w:pPr>
      <w:r>
        <w:rPr/>
        <w:t xml:space="preserve">AESS 2: Feature elements viewed at a distance greater than 6 m.</w:t>
      </w:r>
    </w:p>
    <w:p>
      <w:pPr>
        <w:pStyle w:val="Instructionsindent"/>
      </w:pPr>
      <w:r>
        <w:rPr/>
        <w:t xml:space="preserve">AESS 3: Feature elements viewed at a distance equal to or less than 6 m.</w:t>
      </w:r>
    </w:p>
    <w:p>
      <w:pPr>
        <w:pStyle w:val="Instructionsindent"/>
      </w:pPr>
      <w:r>
        <w:rPr/>
        <w:t xml:space="preserve">AESS 4: Showcase elements where form is the only visible feature.</w:t>
      </w:r>
    </w:p>
    <w:p>
      <w:pPr>
        <w:pStyle w:val="Instructionsindent"/>
      </w:pPr>
      <w:r>
        <w:rPr/>
        <w:t xml:space="preserve">AESS C: Custom elements, which may select any of the requirements from the AESS categories. Nominate requirements for AESS C here or on drawings.</w:t>
      </w:r>
    </w:p>
    <w:bookmarkEnd w:id="228"/>
    <w:bookmarkStart w:name="f-10156-35" w:id="230"/>
    <w:p>
      <w:pPr>
        <w:pStyle w:val="Heading4"/>
      </w:pPr>
      <w:bookmarkStart w:name="h-10156-35" w:id="231"/>
      <w:r>
        <w:rPr/>
        <w:t xml:space="preserve">Fabrication</w:t>
      </w:r>
      <w:bookmarkEnd w:id="231"/>
    </w:p>
    <w:p>
      <w:pPr>
        <w:pStyle w:val="Body Text"/>
      </w:pPr>
      <w:r>
        <w:rPr/>
        <w:t xml:space="preserve">Requirements: To AS/NZS 5131 (2016) clause 10.4.</w:t>
      </w:r>
    </w:p>
    <w:p>
      <w:pPr>
        <w:pStyle w:val="Instructions"/>
      </w:pPr>
      <w:r>
        <w:rPr/>
        <w:t xml:space="preserve">For further information refer to the ASI </w:t>
      </w:r>
      <w:r>
        <w:rPr>
          <w:i/>
        </w:rPr>
        <w:t xml:space="preserve">AESS Code of Practice (for fabricators) (2012)</w:t>
      </w:r>
      <w:r>
        <w:rPr/>
        <w:t xml:space="preserve">, freely available from the ASI website.</w:t>
      </w:r>
    </w:p>
    <w:p>
      <w:pPr>
        <w:pStyle w:val="Body Text"/>
      </w:pPr>
      <w:r>
        <w:rPr/>
        <w:t xml:space="preserve">Corners and edges: Grind smooth sharp, marred, or roughened corners and edges.</w:t>
      </w:r>
    </w:p>
    <w:p>
      <w:pPr>
        <w:pStyle w:val="Body Text"/>
      </w:pPr>
      <w:r>
        <w:rPr/>
        <w:t xml:space="preserve">Rough surfaces: Deburr and grind smooth.</w:t>
      </w:r>
    </w:p>
    <w:bookmarkEnd w:id="230"/>
    <w:bookmarkStart w:name="f-10156-36" w:id="232"/>
    <w:p>
      <w:pPr>
        <w:pStyle w:val="Heading4"/>
      </w:pPr>
      <w:bookmarkStart w:name="h-10156-36" w:id="233"/>
      <w:r>
        <w:rPr/>
        <w:t xml:space="preserve">Erection</w:t>
      </w:r>
      <w:bookmarkEnd w:id="233"/>
    </w:p>
    <w:p>
      <w:pPr>
        <w:pStyle w:val="Body Text"/>
      </w:pPr>
      <w:r>
        <w:rPr/>
        <w:t xml:space="preserve">Additional requirements: To AS/NZS 5131 (2016) clause 10.5.</w:t>
      </w:r>
    </w:p>
    <w:bookmarkEnd w:id="232"/>
    <w:bookmarkStart w:name="f-10156-37" w:id="234"/>
    <w:p>
      <w:pPr>
        <w:pStyle w:val="Heading3"/>
      </w:pPr>
      <w:bookmarkStart w:name="h-10156-37" w:id="235"/>
      <w:r>
        <w:rPr/>
        <w:t xml:space="preserve">ERECTION</w:t>
      </w:r>
      <w:bookmarkEnd w:id="235"/>
    </w:p>
    <w:bookmarkEnd w:id="234"/>
    <w:bookmarkStart w:name="f-10156-38" w:id="236"/>
    <w:p>
      <w:pPr>
        <w:pStyle w:val="Heading4"/>
      </w:pPr>
      <w:bookmarkStart w:name="h-10156-38" w:id="237"/>
      <w:r>
        <w:rPr/>
        <w:t xml:space="preserve">General</w:t>
      </w:r>
      <w:bookmarkEnd w:id="237"/>
    </w:p>
    <w:p>
      <w:pPr>
        <w:pStyle w:val="Body Text"/>
      </w:pPr>
      <w:r>
        <w:rPr/>
        <w:t xml:space="preserve">Execution: Make sure every part of the structure has sufficient design capacity and is stable under construction loads produced by the construction procedure.</w:t>
      </w:r>
    </w:p>
    <w:p>
      <w:pPr>
        <w:pStyle w:val="OptionalNormal"/>
      </w:pPr>
      <w:r>
        <w:rPr/>
        <w:t xml:space="preserve">Calculations: Verify the adequacy of the structure to sustain any loads and/or procedures, which may be imposed.</w:t>
      </w:r>
    </w:p>
    <w:p>
      <w:pPr>
        <w:pStyle w:val="Instructions"/>
      </w:pPr>
      <w:r>
        <w:rPr/>
        <w:t xml:space="preserve">If calculations to justify the adequacy of the structure during construction are necessary or are a requirement of the Erection sequence methodology (ESM), include this </w:t>
      </w:r>
      <w:r>
        <w:rPr>
          <w:i/>
        </w:rPr>
        <w:t xml:space="preserve">Optional</w:t>
      </w:r>
      <w:r>
        <w:rPr/>
        <w:t xml:space="preserve"> style text by changing to </w:t>
      </w:r>
      <w:r>
        <w:rPr>
          <w:i/>
        </w:rPr>
        <w:t xml:space="preserve">Normal</w:t>
      </w:r>
      <w:r>
        <w:rPr/>
        <w:t xml:space="preserve"> style text.</w:t>
      </w:r>
    </w:p>
    <w:bookmarkEnd w:id="236"/>
    <w:bookmarkStart w:name="f-10156-39" w:id="238"/>
    <w:p>
      <w:pPr>
        <w:pStyle w:val="Heading4"/>
      </w:pPr>
      <w:bookmarkStart w:name="h-10156-39" w:id="239"/>
      <w:r>
        <w:rPr/>
        <w:t xml:space="preserve">Temporary work</w:t>
      </w:r>
      <w:bookmarkEnd w:id="239"/>
    </w:p>
    <w:p>
      <w:pPr>
        <w:pStyle w:val="Body Text"/>
      </w:pPr>
      <w:r>
        <w:rPr/>
        <w:t xml:space="preserve">General: Provide all necessary temporary bracing or propping.</w:t>
      </w:r>
    </w:p>
    <w:p>
      <w:pPr>
        <w:pStyle w:val="Body Text"/>
      </w:pPr>
      <w:r>
        <w:rPr/>
        <w:t xml:space="preserve">Temporary connections: Detail required cleats, if not shown on shop detail documentation.</w:t>
      </w:r>
    </w:p>
    <w:p>
      <w:pPr>
        <w:pStyle w:val="Instructions"/>
      </w:pPr>
      <w:r>
        <w:rPr/>
        <w:t xml:space="preserve">Certain connections may be restricted for AESS. Refer to </w:t>
      </w:r>
      <w:r>
        <w:rPr>
          <w:b/>
        </w:rPr>
        <w:t xml:space="preserve">ARCHITECTURALLY EXPOSED STRUCTURAL STEELWORK</w:t>
      </w:r>
      <w:r>
        <w:rPr/>
        <w:t xml:space="preserve">.</w:t>
      </w:r>
    </w:p>
    <w:p>
      <w:pPr>
        <w:pStyle w:val="Body Text"/>
      </w:pPr>
      <w:r>
        <w:rPr/>
        <w:t xml:space="preserve">Temporary members: If temporary members are required, fix so as not to weaken or deface permanent steelwork.</w:t>
      </w:r>
    </w:p>
    <w:p>
      <w:pPr>
        <w:pStyle w:val="Body Text"/>
      </w:pPr>
      <w:r>
        <w:rPr/>
        <w:t xml:space="preserve">SlimDek 210 deck: Provide temporary propping to deck, as documented.</w:t>
      </w:r>
    </w:p>
    <w:bookmarkEnd w:id="238"/>
    <w:bookmarkStart w:name="f-10156-40" w:id="240"/>
    <w:p>
      <w:pPr>
        <w:pStyle w:val="Heading4"/>
      </w:pPr>
      <w:bookmarkStart w:name="h-10156-40" w:id="241"/>
      <w:r>
        <w:rPr/>
        <w:t xml:space="preserve">Anchor bolts</w:t>
      </w:r>
      <w:bookmarkEnd w:id="241"/>
    </w:p>
    <w:p>
      <w:pPr>
        <w:pStyle w:val="Body Text"/>
      </w:pPr>
      <w:r>
        <w:rPr/>
        <w:t xml:space="preserve">General: For each group of anchor bolts, provide a template with set-out lines clearly marked for positioning the bolts when casting in.</w:t>
      </w:r>
    </w:p>
    <w:p>
      <w:pPr>
        <w:pStyle w:val="Instructions"/>
      </w:pPr>
      <w:r>
        <w:rPr/>
        <w:t xml:space="preserve">Anchor bolts are frequently fitted with a sleeve when casting in to allow minor adjustment. If applicable, show sleeve details on the drawings.</w:t>
      </w:r>
    </w:p>
    <w:bookmarkEnd w:id="240"/>
    <w:bookmarkStart w:name="f-10156-41" w:id="242"/>
    <w:p>
      <w:pPr>
        <w:pStyle w:val="Heading4"/>
      </w:pPr>
      <w:bookmarkStart w:name="h-10156-41" w:id="243"/>
      <w:r>
        <w:rPr/>
        <w:t xml:space="preserve">Beam camber</w:t>
      </w:r>
      <w:bookmarkEnd w:id="243"/>
    </w:p>
    <w:p>
      <w:pPr>
        <w:pStyle w:val="Body Text"/>
      </w:pPr>
      <w:r>
        <w:rPr/>
        <w:t xml:space="preserve">Requirement: If beam elements have a camber (natural or induced), erect them with the camber up.</w:t>
      </w:r>
    </w:p>
    <w:bookmarkEnd w:id="242"/>
    <w:bookmarkStart w:name="f-10156-42" w:id="244"/>
    <w:p>
      <w:pPr>
        <w:pStyle w:val="Heading4"/>
      </w:pPr>
      <w:bookmarkStart w:name="h-10156-42" w:id="245"/>
      <w:r>
        <w:rPr/>
        <w:t xml:space="preserve">Site work</w:t>
      </w:r>
      <w:bookmarkEnd w:id="245"/>
    </w:p>
    <w:p>
      <w:pPr>
        <w:pStyle w:val="Body Text"/>
      </w:pPr>
      <w:r>
        <w:rPr/>
        <w:t xml:space="preserve">General: Other than work shown on the shop detail documentation as site work, do not fabricate, modify or weld structural steel on-site.</w:t>
      </w:r>
    </w:p>
    <w:p>
      <w:pPr>
        <w:pStyle w:val="Instructions"/>
      </w:pPr>
      <w:r>
        <w:rPr/>
        <w:t xml:space="preserve">If site modifications are necessary, refer to AS/NZS 5131 (2016) Section 14.</w:t>
      </w:r>
    </w:p>
    <w:bookmarkEnd w:id="244"/>
    <w:bookmarkStart w:name="f-10156-43" w:id="246"/>
    <w:p>
      <w:pPr>
        <w:pStyle w:val="Heading4"/>
      </w:pPr>
      <w:bookmarkStart w:name="h-10156-43" w:id="247"/>
      <w:r>
        <w:rPr/>
        <w:t xml:space="preserve">Purlins</w:t>
      </w:r>
      <w:bookmarkEnd w:id="247"/>
    </w:p>
    <w:p>
      <w:pPr>
        <w:pStyle w:val="Body Text"/>
      </w:pPr>
      <w:r>
        <w:rPr/>
        <w:t xml:space="preserve">Trimming members: Provide to support edges of roof sheeting along hips, valleys and roof penetrations.</w:t>
      </w:r>
    </w:p>
    <w:bookmarkEnd w:id="246"/>
    <w:bookmarkStart w:name="f-10156-44" w:id="248"/>
    <w:p>
      <w:pPr>
        <w:pStyle w:val="Heading4"/>
      </w:pPr>
      <w:bookmarkStart w:name="h-10156-44" w:id="249"/>
      <w:r>
        <w:rPr/>
        <w:t xml:space="preserve">Movements</w:t>
      </w:r>
      <w:bookmarkEnd w:id="249"/>
    </w:p>
    <w:p>
      <w:pPr>
        <w:pStyle w:val="Body Text"/>
      </w:pPr>
      <w:r>
        <w:rPr/>
        <w:t xml:space="preserve">General: Allow for thermal movements during erection.</w:t>
      </w:r>
    </w:p>
    <w:bookmarkEnd w:id="248"/>
    <w:bookmarkStart w:name="f-10156-45" w:id="250"/>
    <w:p>
      <w:pPr>
        <w:pStyle w:val="Heading4"/>
      </w:pPr>
      <w:bookmarkStart w:name="h-10156-45" w:id="251"/>
      <w:r>
        <w:rPr/>
        <w:t xml:space="preserve">Grouting at supports</w:t>
      </w:r>
      <w:bookmarkEnd w:id="251"/>
    </w:p>
    <w:p>
      <w:pPr>
        <w:pStyle w:val="Instructions"/>
      </w:pPr>
      <w:r>
        <w:rPr/>
        <w:t xml:space="preserve">See AS/NZS 5131 (2016) clause 11.6.4.</w:t>
      </w:r>
    </w:p>
    <w:p>
      <w:pPr>
        <w:pStyle w:val="Body Text"/>
      </w:pPr>
      <w:r>
        <w:rPr/>
        <w:t xml:space="preserve">Preparation: Before grouting steelwork supported by concrete or masonry, set steelwork on packing or wedges.</w:t>
      </w:r>
    </w:p>
    <w:p>
      <w:pPr>
        <w:pStyle w:val="NormalIndent"/>
      </w:pPr>
      <w:r>
        <w:rPr/>
        <w:t xml:space="preserve">Permanent packing or wedges: Form with solid steel or grout of similar strength to the permanent grout.</w:t>
      </w:r>
    </w:p>
    <w:p>
      <w:pPr>
        <w:pStyle w:val="NormalIndent"/>
      </w:pPr>
      <w:r>
        <w:rPr/>
        <w:t xml:space="preserve">Temporary packing or wedges: Remove before completion of grouting.</w:t>
      </w:r>
    </w:p>
    <w:p>
      <w:pPr>
        <w:pStyle w:val="Instructions"/>
      </w:pPr>
      <w:r>
        <w:rPr/>
        <w:t xml:space="preserve">If any treatment of the steelwork, base plates, bearings or concrete surfaces are required before grouting, include requirements here.</w:t>
      </w:r>
    </w:p>
    <w:p>
      <w:pPr>
        <w:pStyle w:val="Body Text"/>
      </w:pPr>
      <w:r>
        <w:rPr/>
        <w:t xml:space="preserve">Timing: Grout at supports before constructing supported floors, walls and roofing.</w:t>
      </w:r>
    </w:p>
    <w:p>
      <w:pPr>
        <w:pStyle w:val="Body Text"/>
      </w:pPr>
      <w:r>
        <w:rPr/>
        <w:t xml:space="preserve">Temperature: Do not grout if the temperature of the base plate or the footing surface exceeds 35°C.</w:t>
      </w:r>
    </w:p>
    <w:bookmarkEnd w:id="250"/>
    <w:bookmarkStart w:name="f-10156-46" w:id="252"/>
    <w:p>
      <w:pPr>
        <w:pStyle w:val="Heading4"/>
      </w:pPr>
      <w:bookmarkStart w:name="h-10156-46" w:id="253"/>
      <w:r>
        <w:rPr/>
        <w:t xml:space="preserve">Drifting</w:t>
      </w:r>
      <w:bookmarkEnd w:id="253"/>
    </w:p>
    <w:p>
      <w:pPr>
        <w:pStyle w:val="Body Text"/>
      </w:pPr>
      <w:r>
        <w:rPr/>
        <w:t xml:space="preserve">Limitation: Use drifting only to bring members into position, without enlarging holes or distorting components.</w:t>
      </w:r>
    </w:p>
    <w:p>
      <w:pPr>
        <w:pStyle w:val="Instructions"/>
      </w:pPr>
      <w:r>
        <w:rPr/>
        <w:t xml:space="preserve">See AS/NZS 5131 (2016) clause 11.5.7.</w:t>
      </w:r>
    </w:p>
    <w:bookmarkEnd w:id="252"/>
    <w:bookmarkStart w:name="f-10156-47" w:id="254"/>
    <w:p>
      <w:pPr>
        <w:pStyle w:val="Heading3"/>
      </w:pPr>
      <w:bookmarkStart w:name="h-10156-47" w:id="255"/>
      <w:r>
        <w:rPr/>
        <w:t xml:space="preserve">REPAIRS</w:t>
      </w:r>
      <w:bookmarkEnd w:id="255"/>
    </w:p>
    <w:bookmarkEnd w:id="254"/>
    <w:bookmarkStart w:name="f-10156-48" w:id="256"/>
    <w:p>
      <w:pPr>
        <w:pStyle w:val="Heading4"/>
      </w:pPr>
      <w:bookmarkStart w:name="h-10156-48" w:id="257"/>
      <w:r>
        <w:rPr/>
        <w:t xml:space="preserve">General</w:t>
      </w:r>
      <w:bookmarkEnd w:id="257"/>
    </w:p>
    <w:p>
      <w:pPr>
        <w:pStyle w:val="Body Text"/>
      </w:pPr>
      <w:r>
        <w:rPr/>
        <w:t xml:space="preserve">Requirement: Repair finishes to restore the full integrity of any coating.</w:t>
      </w:r>
    </w:p>
    <w:bookmarkEnd w:id="256"/>
    <w:bookmarkStart w:name="f-10156-49" w:id="258"/>
    <w:p>
      <w:pPr>
        <w:pStyle w:val="Heading3"/>
      </w:pPr>
      <w:bookmarkStart w:name="h-10156-49" w:id="259"/>
      <w:r>
        <w:rPr/>
        <w:t xml:space="preserve">COMPLETION</w:t>
      </w:r>
      <w:bookmarkEnd w:id="259"/>
    </w:p>
    <w:bookmarkEnd w:id="258"/>
    <w:bookmarkStart w:name="f-10156-50" w:id="260"/>
    <w:p>
      <w:pPr>
        <w:pStyle w:val="Heading4"/>
      </w:pPr>
      <w:bookmarkStart w:name="h-10156-50" w:id="261"/>
      <w:r>
        <w:rPr/>
        <w:t xml:space="preserve">Tolerances</w:t>
      </w:r>
      <w:bookmarkEnd w:id="261"/>
    </w:p>
    <w:p>
      <w:pPr>
        <w:pStyle w:val="Body Text"/>
      </w:pPr>
      <w:r>
        <w:rPr/>
        <w:t xml:space="preserve">Conformance: After completing erection, verify conformance with AS/NZS 5131 (2016) Section 12 and Appendix F.</w:t>
      </w:r>
    </w:p>
    <w:bookmarkEnd w:id="260"/>
    <w:bookmarkStart w:name="f-10156-51" w:id="262"/>
    <w:p>
      <w:pPr>
        <w:pStyle w:val="Heading4"/>
      </w:pPr>
      <w:bookmarkStart w:name="h-10156-51" w:id="263"/>
      <w:r>
        <w:rPr/>
        <w:t xml:space="preserve">Temporary connections</w:t>
      </w:r>
      <w:bookmarkEnd w:id="263"/>
    </w:p>
    <w:p>
      <w:pPr>
        <w:pStyle w:val="Body Text"/>
      </w:pPr>
      <w:r>
        <w:rPr/>
        <w:t xml:space="preserve">General: Remove temporary cleats on completion and restore the surface.</w:t>
      </w:r>
    </w:p>
    <w:bookmarkEnd w:id="262"/>
    <w:bookmarkStart w:name="f-10156-10156.2" w:id="264"/>
    <w:p>
      <w:pPr>
        <w:pStyle w:val="Heading4"/>
      </w:pPr>
      <w:bookmarkStart w:name="h-10156-10156.2" w:id="265"/>
      <w:r>
        <w:rPr/>
        <w:t xml:space="preserve">Warranties</w:t>
      </w:r>
      <w:bookmarkEnd w:id="265"/>
    </w:p>
    <w:p>
      <w:pPr>
        <w:pStyle w:val="Body Text"/>
      </w:pPr>
      <w:r>
        <w:rPr/>
        <w:t xml:space="preserve">SlimDek 210: Provide the Fielders’ published product warranties</w:t>
      </w:r>
    </w:p>
    <w:p>
      <w:pPr>
        <w:pStyle w:val="Instructions"/>
      </w:pPr>
      <w:r>
        <w:rPr/>
        <w:t xml:space="preserve">If the warranty is in the form of separate material and installation warranties, require the signatures of both manufacturer and installer.</w:t>
      </w:r>
    </w:p>
    <w:p>
      <w:pPr>
        <w:pStyle w:val="Instructions"/>
      </w:pPr>
      <w:r>
        <w:rPr/>
        <w:t xml:space="preserve">BlueScope Steel offers a warranty for the SlimDek 210 deck of up to 10 years from the date of installation against perforation by natural degradation, when used within the building envelope (not exposed to natural environment). It is applicable to building applications located greater than 1 km from severe marine or industrial environments only.</w:t>
      </w:r>
    </w:p>
    <w:p>
      <w:pPr>
        <w:pStyle w:val="Instructions"/>
      </w:pPr>
      <w:r>
        <w:rPr/>
        <w:t xml:space="preserve">Warranty requests are evaluated on a case-by-case basis. BlueScope Steel reserves the right to determine the warranty period given. All BlueScope Steel warranties are subject to terms and conditions, which are available from Fielders or from BlueScope Steel.</w:t>
      </w:r>
    </w:p>
    <w:p>
      <w:pPr>
        <w:pStyle w:val="Instructions"/>
      </w:pPr>
      <w:r>
        <w:rPr/>
        <w:t xml:space="preserve">In conjunction with the warranty provided by BlueScope Steel, Fielders provide a 10 year Structural Performance Guarantee. Refer to KingFlor® Structural Performance Guarantee application form for further details and conditions.</w:t>
      </w:r>
    </w:p>
    <w:bookmarkEnd w:id="264"/>
    <w:bookmarkEnd w:id="158"/>
    <w:bookmarkStart w:name="f-10154" w:id="266"/>
    <w:bookmarkStart w:name="f-10154-1" w:id="267"/>
    <w:p>
      <w:pPr>
        <w:pStyle w:val="Heading2"/>
      </w:pPr>
      <w:bookmarkStart w:name="h-10154-1" w:id="268"/>
      <w:r>
        <w:rPr/>
        <w:t xml:space="preserve">SELECTIONS</w:t>
      </w:r>
      <w:bookmarkEnd w:id="268"/>
    </w:p>
    <w:bookmarkEnd w:id="267"/>
    <w:bookmarkStart w:name="f-10154-2" w:id="269"/>
    <w:bookmarkStart w:name="f-7991" w:id="270"/>
    <w:bookmarkStart w:name="f-7991-1" w:id="271"/>
    <w:p>
      <w:pPr>
        <w:pStyle w:val="Instructions"/>
      </w:pPr>
      <w:r>
        <w:rPr>
          <w:b/>
        </w:rPr>
        <w:t xml:space="preserve">Schedules</w:t>
      </w:r>
      <w:r>
        <w:rPr/>
        <w:t xml:space="preserve"> are a tool to specify properties required for products or systems. If the principal permits documentation of the product or system by proprietary name, some of the properties may be unnecessary and can be deleted. Document the product or system's location or application here and/or on the drawings with a matching project code. Refer to NATSPEC TECHnote GEN 024 for guidance on using and editing schedules.</w:t>
      </w:r>
    </w:p>
    <w:bookmarkEnd w:id="271"/>
    <w:bookmarkEnd w:id="270"/>
    <w:bookmarkEnd w:id="269"/>
    <w:bookmarkStart w:name="f-10154-10154.2" w:id="272"/>
    <w:p>
      <w:pPr>
        <w:pStyle w:val="Heading3"/>
      </w:pPr>
      <w:bookmarkStart w:name="h-10154-10154.2" w:id="273"/>
      <w:r>
        <w:rPr/>
        <w:t xml:space="preserve">FIELDERS SLIMFLOR</w:t>
      </w:r>
      <w:bookmarkEnd w:id="273"/>
    </w:p>
    <w:p>
      <w:pPr>
        <w:pStyle w:val="Instructions"/>
      </w:pPr>
      <w:r>
        <w:rPr/>
        <w:t xml:space="preserve">Refer to the </w:t>
      </w:r>
      <w:r>
        <w:rPr>
          <w:i/>
        </w:rPr>
        <w:t xml:space="preserve">Fielders Fact File F.3.5 (2018)</w:t>
      </w:r>
      <w:r>
        <w:rPr/>
        <w:t xml:space="preserve"> for more information on the typical range of ASB’s and ASB(UC)’s available.</w:t>
      </w:r>
    </w:p>
    <w:bookmarkEnd w:id="272"/>
    <w:bookmarkStart w:name="f-10154-10154.1" w:id="274"/>
    <w:p>
      <w:pPr>
        <w:pStyle w:val="Heading4"/>
      </w:pPr>
      <w:bookmarkStart w:name="h-10154-10154.1" w:id="275"/>
      <w:r>
        <w:rPr/>
        <w:t xml:space="preserve">Fielders SlimFlor schedule</w:t>
      </w:r>
      <w:bookmarkEnd w:id="275"/>
    </w:p>
    <w:tbl>
      <w:tblPr>
        <w:tblStyle w:val="NATSPECTable"/>
        <w:tblW w:w="5000" w:type="pct"/>
        <w:tblLook w:firstRow="1" w:lastRow="0" w:firstColumn="0" w:lastColumn="0"/>
      </w:tblPr>
      <w:tr>
        <w:trPr>
          <w:tblHeader/>
        </w:trPr>
        <w:tc>
          <w:tcPr>
            <w:tcW w:w="40.0%" w:type="pct"/>
          </w:tcPr>
          <w:p>
            <w:pPr>
              <w:pStyle w:val="Tabletitle"/>
            </w:pPr>
          </w:p>
        </w:tc>
        <w:tc>
          <w:tcPr>
            <w:tcW w:w="20.0%" w:type="pct"/>
          </w:tcPr>
          <w:p>
            <w:pPr>
              <w:pStyle w:val="Tabletitle"/>
            </w:pPr>
            <w:r>
              <w:rPr/>
              <w:t xml:space="preserve">A</w:t>
            </w:r>
          </w:p>
        </w:tc>
        <w:tc>
          <w:tcPr>
            <w:tcW w:w="20.0%" w:type="pct"/>
          </w:tcPr>
          <w:p>
            <w:pPr>
              <w:pStyle w:val="Tabletitle"/>
            </w:pPr>
            <w:r>
              <w:rPr/>
              <w:t xml:space="preserve">B</w:t>
            </w:r>
          </w:p>
        </w:tc>
        <w:tc>
          <w:tcPr>
            <w:tcW w:w="20.0%" w:type="pct"/>
          </w:tcPr>
          <w:p>
            <w:pPr>
              <w:pStyle w:val="Tabletitle"/>
            </w:pPr>
            <w:r>
              <w:rPr/>
              <w:t xml:space="preserve">C</w:t>
            </w:r>
          </w:p>
        </w:tc>
      </w:tr>
      <w:tr>
        <w:trPr/>
        <w:tc>
          <w:tcPr>
            <w:tcW w:w="40.0%" w:type="pct"/>
          </w:tcPr>
          <w:p>
            <w:pPr>
              <w:pStyle w:val="Tabletext"/>
            </w:pPr>
            <w:r>
              <w:rPr/>
              <w:t xml:space="preserve">ASB / ASB(UC)</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SlimDek 210 deck</w:t>
            </w:r>
          </w:p>
        </w:tc>
        <w:tc>
          <w:tcPr>
            <w:tcW w:w="20.0%" w:type="pct"/>
          </w:tcPr>
          <w:p>
            <w:pPr>
              <w:pStyle w:val="Tabletext"/>
            </w:pPr>
            <w:r>
              <w:rPr/>
              <w:t xml:space="preserve">G500, Z350</w:t>
            </w:r>
          </w:p>
        </w:tc>
        <w:tc>
          <w:tcPr>
            <w:tcW w:w="20.0%" w:type="pct"/>
          </w:tcPr>
          <w:p>
            <w:pPr>
              <w:pStyle w:val="Tabletext"/>
            </w:pPr>
            <w:r>
              <w:rPr/>
              <w:t xml:space="preserve">G500, Z350</w:t>
            </w:r>
          </w:p>
        </w:tc>
        <w:tc>
          <w:tcPr>
            <w:tcW w:w="20.0%" w:type="pct"/>
          </w:tcPr>
          <w:p>
            <w:pPr>
              <w:pStyle w:val="Tabletext"/>
            </w:pPr>
            <w:r>
              <w:rPr/>
              <w:t xml:space="preserve">G500, Z350</w:t>
            </w:r>
          </w:p>
        </w:tc>
      </w:tr>
    </w:tbl>
    <w:p>
      <w:r>
        <w:t xml:space="preserve"> </w:t>
      </w:r>
    </w:p>
    <w:bookmarkStart w:name="f-8767" w:id="276"/>
    <w:bookmarkStart w:name="f-8767-1" w:id="277"/>
    <w:p>
      <w:pPr>
        <w:pStyle w:val="Instructions"/>
      </w:pPr>
      <w:r>
        <w:rPr/>
        <w:t xml:space="preserve">The codes in the header row of the schedule designate each application or location of the item scheduled. Edit the codes to match those in other contract documents.</w:t>
      </w:r>
    </w:p>
    <w:bookmarkEnd w:id="277"/>
    <w:bookmarkEnd w:id="276"/>
    <w:p>
      <w:pPr>
        <w:pStyle w:val="Instructions"/>
      </w:pPr>
      <w:r>
        <w:rPr/>
        <w:t xml:space="preserve">ASB / ASB(UC): Nominate the ASB or ASB(UC) required, using the standard form of ASB id. For example 322ASB(UC)1397 to denote that the ASB is 322 mm deep with a weight of 139.7 kg/m. Typically available ASB and ASB(UC) sizes are detailed in the </w:t>
      </w:r>
      <w:r>
        <w:rPr>
          <w:i/>
        </w:rPr>
        <w:t xml:space="preserve">Fielders Fact File F.3.5 (2018)</w:t>
      </w:r>
      <w:r>
        <w:rPr/>
        <w:t xml:space="preserve">.</w:t>
      </w:r>
    </w:p>
    <w:bookmarkEnd w:id="274"/>
    <w:bookmarkStart w:name="f-10154-3" w:id="278"/>
    <w:p>
      <w:pPr>
        <w:pStyle w:val="Heading3"/>
      </w:pPr>
      <w:bookmarkStart w:name="h-10154-3" w:id="279"/>
      <w:r>
        <w:rPr/>
        <w:t xml:space="preserve">SCHEDULES</w:t>
      </w:r>
      <w:bookmarkEnd w:id="279"/>
    </w:p>
    <w:bookmarkEnd w:id="278"/>
    <w:bookmarkStart w:name="f-10154-4" w:id="280"/>
    <w:p>
      <w:pPr>
        <w:pStyle w:val="Heading4"/>
      </w:pPr>
      <w:bookmarkStart w:name="h-10154-4" w:id="281"/>
      <w:r>
        <w:rPr/>
        <w:t xml:space="preserve">Non-destructive testing of bars and sections schedule</w:t>
      </w:r>
      <w:bookmarkEnd w:id="281"/>
    </w:p>
    <w:tbl>
      <w:tblPr>
        <w:tblStyle w:val="NATSPECTable"/>
        <w:tblW w:w="5000" w:type="pct"/>
        <w:tblLook w:firstRow="1" w:lastRow="0" w:firstColumn="0" w:lastColumn="0"/>
      </w:tblPr>
      <w:tr>
        <w:trPr>
          <w:tblHeader/>
        </w:trPr>
        <w:tc>
          <w:tcPr>
            <w:tcW w:w="34%" w:type="pct"/>
          </w:tcPr>
          <w:p>
            <w:pPr>
              <w:pStyle w:val="Tabletitle"/>
            </w:pPr>
            <w:r>
              <w:rPr/>
              <w:t xml:space="preserve">Item to be tested</w:t>
            </w:r>
          </w:p>
        </w:tc>
        <w:tc>
          <w:tcPr>
            <w:tcW w:w="33%" w:type="pct"/>
          </w:tcPr>
          <w:p>
            <w:pPr>
              <w:pStyle w:val="Tabletitle"/>
            </w:pPr>
            <w:r>
              <w:rPr/>
              <w:t xml:space="preserve">Test method</w:t>
            </w:r>
          </w:p>
        </w:tc>
        <w:tc>
          <w:tcPr>
            <w:tcW w:w="33%" w:type="pct"/>
          </w:tcPr>
          <w:p>
            <w:pPr>
              <w:pStyle w:val="Tabletitle"/>
            </w:pPr>
            <w:r>
              <w:rPr/>
              <w:t xml:space="preserve">Other requirements</w:t>
            </w:r>
          </w:p>
        </w:tc>
      </w:tr>
      <w:tr>
        <w:trPr/>
        <w:tc>
          <w:tcPr>
            <w:tcW w:w="34%" w:type="pct"/>
          </w:tcPr>
          <w:p>
            <w:pPr>
              <w:pStyle w:val="Tabletext"/>
            </w:pPr>
          </w:p>
        </w:tc>
        <w:tc>
          <w:tcPr>
            <w:tcW w:w="33%" w:type="pct"/>
          </w:tcPr>
          <w:p>
            <w:pPr>
              <w:pStyle w:val="Tabletext"/>
            </w:pPr>
          </w:p>
        </w:tc>
        <w:tc>
          <w:tcPr>
            <w:tcW w:w="33%" w:type="pct"/>
          </w:tcPr>
          <w:p>
            <w:pPr>
              <w:pStyle w:val="Tabletext"/>
            </w:pPr>
          </w:p>
        </w:tc>
      </w:tr>
      <w:tr>
        <w:trPr/>
        <w:tc>
          <w:tcPr>
            <w:tcW w:w="34%" w:type="pct"/>
          </w:tcPr>
          <w:p>
            <w:pPr>
              <w:pStyle w:val="Tabletext"/>
            </w:pPr>
          </w:p>
        </w:tc>
        <w:tc>
          <w:tcPr>
            <w:tcW w:w="33%" w:type="pct"/>
          </w:tcPr>
          <w:p>
            <w:pPr>
              <w:pStyle w:val="Tabletext"/>
            </w:pPr>
          </w:p>
        </w:tc>
        <w:tc>
          <w:tcPr>
            <w:tcW w:w="33%" w:type="pct"/>
          </w:tcPr>
          <w:p>
            <w:pPr>
              <w:pStyle w:val="Tabletext"/>
            </w:pPr>
          </w:p>
        </w:tc>
      </w:tr>
      <w:tr>
        <w:trPr/>
        <w:tc>
          <w:tcPr>
            <w:tcW w:w="34%" w:type="pct"/>
          </w:tcPr>
          <w:p>
            <w:pPr>
              <w:pStyle w:val="Tabletext"/>
            </w:pPr>
          </w:p>
        </w:tc>
        <w:tc>
          <w:tcPr>
            <w:tcW w:w="33%" w:type="pct"/>
          </w:tcPr>
          <w:p>
            <w:pPr>
              <w:pStyle w:val="Tabletext"/>
            </w:pPr>
          </w:p>
        </w:tc>
        <w:tc>
          <w:tcPr>
            <w:tcW w:w="33%" w:type="pct"/>
          </w:tcPr>
          <w:p>
            <w:pPr>
              <w:pStyle w:val="Tabletext"/>
            </w:pPr>
          </w:p>
        </w:tc>
      </w:tr>
    </w:tbl>
    <w:p>
      <w:r>
        <w:t xml:space="preserve"> </w:t>
      </w:r>
    </w:p>
    <w:p>
      <w:pPr>
        <w:pStyle w:val="Instructions"/>
      </w:pPr>
      <w:r>
        <w:rPr/>
        <w:t xml:space="preserve">See AS/NZS 3679.1 (2016) Appendix A for requirements at time of ordering steel.</w:t>
      </w:r>
    </w:p>
    <w:bookmarkEnd w:id="280"/>
    <w:bookmarkStart w:name="f-10154-5" w:id="282"/>
    <w:p>
      <w:pPr>
        <w:pStyle w:val="Heading4"/>
      </w:pPr>
      <w:bookmarkStart w:name="h-10154-5" w:id="283"/>
      <w:r>
        <w:rPr/>
        <w:t xml:space="preserve">Bolting category schedule</w:t>
      </w:r>
      <w:bookmarkEnd w:id="283"/>
    </w:p>
    <w:tbl>
      <w:tblPr>
        <w:tblStyle w:val="NATSPECTable"/>
        <w:tblW w:w="5000" w:type="pct"/>
        <w:tblLook w:firstRow="1" w:lastRow="0" w:firstColumn="0" w:lastColumn="0"/>
      </w:tblPr>
      <w:tr>
        <w:trPr>
          <w:tblHeader/>
        </w:trPr>
        <w:tc>
          <w:tcPr>
            <w:tcW w:w="34%" w:type="pct"/>
          </w:tcPr>
          <w:p>
            <w:pPr>
              <w:pStyle w:val="Tabletitle"/>
            </w:pPr>
            <w:r>
              <w:rPr/>
              <w:t xml:space="preserve">Joint location</w:t>
            </w:r>
          </w:p>
        </w:tc>
        <w:tc>
          <w:tcPr>
            <w:tcW w:w="33%" w:type="pct"/>
          </w:tcPr>
          <w:p>
            <w:pPr>
              <w:pStyle w:val="Tabletitle"/>
            </w:pPr>
            <w:r>
              <w:rPr/>
              <w:t xml:space="preserve">Bolt type/size</w:t>
            </w:r>
          </w:p>
        </w:tc>
        <w:tc>
          <w:tcPr>
            <w:tcW w:w="33%" w:type="pct"/>
          </w:tcPr>
          <w:p>
            <w:pPr>
              <w:pStyle w:val="Tabletitle"/>
            </w:pPr>
            <w:r>
              <w:rPr/>
              <w:t xml:space="preserve">Bolting category</w:t>
            </w:r>
          </w:p>
        </w:tc>
      </w:tr>
      <w:tr>
        <w:trPr/>
        <w:tc>
          <w:tcPr>
            <w:tcW w:w="34%" w:type="pct"/>
          </w:tcPr>
          <w:p>
            <w:pPr>
              <w:pStyle w:val="Tabletext"/>
            </w:pPr>
          </w:p>
        </w:tc>
        <w:tc>
          <w:tcPr>
            <w:tcW w:w="33%" w:type="pct"/>
          </w:tcPr>
          <w:p>
            <w:pPr>
              <w:pStyle w:val="Tabletext"/>
            </w:pPr>
          </w:p>
        </w:tc>
        <w:tc>
          <w:tcPr>
            <w:tcW w:w="33%" w:type="pct"/>
          </w:tcPr>
          <w:p>
            <w:pPr>
              <w:pStyle w:val="Tabletext"/>
            </w:pPr>
          </w:p>
        </w:tc>
      </w:tr>
      <w:tr>
        <w:trPr/>
        <w:tc>
          <w:tcPr>
            <w:tcW w:w="34%" w:type="pct"/>
          </w:tcPr>
          <w:p>
            <w:pPr>
              <w:pStyle w:val="Tabletext"/>
            </w:pPr>
          </w:p>
        </w:tc>
        <w:tc>
          <w:tcPr>
            <w:tcW w:w="33%" w:type="pct"/>
          </w:tcPr>
          <w:p>
            <w:pPr>
              <w:pStyle w:val="Tabletext"/>
            </w:pPr>
          </w:p>
        </w:tc>
        <w:tc>
          <w:tcPr>
            <w:tcW w:w="33%" w:type="pct"/>
          </w:tcPr>
          <w:p>
            <w:pPr>
              <w:pStyle w:val="Tabletext"/>
            </w:pPr>
          </w:p>
        </w:tc>
      </w:tr>
      <w:tr>
        <w:trPr/>
        <w:tc>
          <w:tcPr>
            <w:tcW w:w="34%" w:type="pct"/>
          </w:tcPr>
          <w:p>
            <w:pPr>
              <w:pStyle w:val="Tabletext"/>
            </w:pPr>
          </w:p>
        </w:tc>
        <w:tc>
          <w:tcPr>
            <w:tcW w:w="33%" w:type="pct"/>
          </w:tcPr>
          <w:p>
            <w:pPr>
              <w:pStyle w:val="Tabletext"/>
            </w:pPr>
          </w:p>
        </w:tc>
        <w:tc>
          <w:tcPr>
            <w:tcW w:w="33%" w:type="pct"/>
          </w:tcPr>
          <w:p>
            <w:pPr>
              <w:pStyle w:val="Tabletext"/>
            </w:pPr>
          </w:p>
        </w:tc>
      </w:tr>
    </w:tbl>
    <w:p>
      <w:r>
        <w:t xml:space="preserve"> </w:t>
      </w:r>
    </w:p>
    <w:p>
      <w:pPr>
        <w:pStyle w:val="Instructions"/>
      </w:pPr>
      <w:r>
        <w:rPr/>
        <w:t xml:space="preserve">Bolting categories are defined in AS 4100 (2020) clause 9.2.1.</w:t>
      </w:r>
    </w:p>
    <w:bookmarkEnd w:id="282"/>
    <w:bookmarkStart w:name="f-10154-6" w:id="284"/>
    <w:p>
      <w:pPr>
        <w:pStyle w:val="Heading4"/>
      </w:pPr>
      <w:bookmarkStart w:name="h-10154-6" w:id="285"/>
      <w:r>
        <w:rPr/>
        <w:t xml:space="preserve">AESS schedule</w:t>
      </w:r>
      <w:bookmarkEnd w:id="285"/>
    </w:p>
    <w:tbl>
      <w:tblPr>
        <w:tblStyle w:val="NATSPECTable"/>
        <w:tblW w:w="5000" w:type="pct"/>
        <w:tblLook w:firstRow="1" w:lastRow="0" w:firstColumn="0" w:lastColumn="0"/>
      </w:tblPr>
      <w:tr>
        <w:trPr>
          <w:tblHeader/>
        </w:trPr>
        <w:tc>
          <w:tcPr>
            <w:tcW w:w="20%" w:type="pct"/>
          </w:tcPr>
          <w:p>
            <w:pPr>
              <w:pStyle w:val="Tabletitle"/>
            </w:pPr>
            <w:r>
              <w:rPr/>
              <w:t xml:space="preserve">Location</w:t>
            </w:r>
          </w:p>
        </w:tc>
        <w:tc>
          <w:tcPr>
            <w:tcW w:w="20%" w:type="pct"/>
          </w:tcPr>
          <w:p>
            <w:pPr>
              <w:pStyle w:val="Tabletitle"/>
            </w:pPr>
            <w:r>
              <w:rPr/>
              <w:t xml:space="preserve">AESS category</w:t>
            </w:r>
          </w:p>
        </w:tc>
        <w:tc>
          <w:tcPr>
            <w:tcW w:w="20%" w:type="pct"/>
          </w:tcPr>
          <w:p>
            <w:pPr>
              <w:pStyle w:val="Tabletitle"/>
            </w:pPr>
            <w:r>
              <w:rPr/>
              <w:t xml:space="preserve">Tolerance</w:t>
            </w:r>
          </w:p>
        </w:tc>
        <w:tc>
          <w:tcPr>
            <w:tcW w:w="20%" w:type="pct"/>
          </w:tcPr>
          <w:p>
            <w:pPr>
              <w:pStyle w:val="Tabletitle"/>
            </w:pPr>
            <w:r>
              <w:rPr/>
              <w:t xml:space="preserve">Samples</w:t>
            </w:r>
          </w:p>
        </w:tc>
        <w:tc>
          <w:tcPr>
            <w:tcW w:w="20%" w:type="pct"/>
          </w:tcPr>
          <w:p>
            <w:pPr>
              <w:pStyle w:val="Tabletitle"/>
            </w:pPr>
            <w:r>
              <w:rPr/>
              <w:t xml:space="preserve">Connections</w:t>
            </w:r>
          </w:p>
        </w:tc>
      </w:tr>
      <w:tr>
        <w:trPr/>
        <w:tc>
          <w:tcPr>
            <w:tcW w:w="20%" w:type="pct"/>
          </w:tcPr>
          <w:p>
            <w:pPr>
              <w:pStyle w:val="Tabletext"/>
            </w:pPr>
          </w:p>
        </w:tc>
        <w:tc>
          <w:tcPr>
            <w:tcW w:w="20%" w:type="pct"/>
          </w:tcPr>
          <w:p>
            <w:pPr>
              <w:pStyle w:val="Tabletext"/>
            </w:pPr>
          </w:p>
        </w:tc>
        <w:tc>
          <w:tcPr>
            <w:tcW w:w="20%" w:type="pct"/>
          </w:tcPr>
          <w:p>
            <w:pPr>
              <w:pStyle w:val="Tabletext"/>
            </w:pPr>
          </w:p>
        </w:tc>
        <w:tc>
          <w:tcPr>
            <w:tcW w:w="20%" w:type="pct"/>
          </w:tcPr>
          <w:p>
            <w:pPr>
              <w:pStyle w:val="Tabletext"/>
            </w:pPr>
          </w:p>
        </w:tc>
        <w:tc>
          <w:tcPr>
            <w:tcW w:w="20%" w:type="pct"/>
          </w:tcPr>
          <w:p>
            <w:pPr>
              <w:pStyle w:val="Tabletext"/>
            </w:pPr>
          </w:p>
        </w:tc>
      </w:tr>
      <w:tr>
        <w:trPr/>
        <w:tc>
          <w:tcPr>
            <w:tcW w:w="20%" w:type="pct"/>
          </w:tcPr>
          <w:p>
            <w:pPr>
              <w:pStyle w:val="Tabletext"/>
            </w:pPr>
          </w:p>
        </w:tc>
        <w:tc>
          <w:tcPr>
            <w:tcW w:w="20%" w:type="pct"/>
          </w:tcPr>
          <w:p>
            <w:pPr>
              <w:pStyle w:val="Tabletext"/>
            </w:pPr>
          </w:p>
        </w:tc>
        <w:tc>
          <w:tcPr>
            <w:tcW w:w="20%" w:type="pct"/>
          </w:tcPr>
          <w:p>
            <w:pPr>
              <w:pStyle w:val="Tabletext"/>
            </w:pPr>
          </w:p>
        </w:tc>
        <w:tc>
          <w:tcPr>
            <w:tcW w:w="20%" w:type="pct"/>
          </w:tcPr>
          <w:p>
            <w:pPr>
              <w:pStyle w:val="Tabletext"/>
            </w:pPr>
          </w:p>
        </w:tc>
        <w:tc>
          <w:tcPr>
            <w:tcW w:w="20%" w:type="pct"/>
          </w:tcPr>
          <w:p>
            <w:pPr>
              <w:pStyle w:val="Tabletext"/>
            </w:pPr>
          </w:p>
        </w:tc>
      </w:tr>
      <w:tr>
        <w:trPr/>
        <w:tc>
          <w:tcPr>
            <w:tcW w:w="20%" w:type="pct"/>
          </w:tcPr>
          <w:p>
            <w:pPr>
              <w:pStyle w:val="Tabletext"/>
            </w:pPr>
          </w:p>
        </w:tc>
        <w:tc>
          <w:tcPr>
            <w:tcW w:w="20%" w:type="pct"/>
          </w:tcPr>
          <w:p>
            <w:pPr>
              <w:pStyle w:val="Tabletext"/>
            </w:pPr>
          </w:p>
        </w:tc>
        <w:tc>
          <w:tcPr>
            <w:tcW w:w="20%" w:type="pct"/>
          </w:tcPr>
          <w:p>
            <w:pPr>
              <w:pStyle w:val="Tabletext"/>
            </w:pPr>
          </w:p>
        </w:tc>
        <w:tc>
          <w:tcPr>
            <w:tcW w:w="20%" w:type="pct"/>
          </w:tcPr>
          <w:p>
            <w:pPr>
              <w:pStyle w:val="Tabletext"/>
            </w:pPr>
          </w:p>
        </w:tc>
        <w:tc>
          <w:tcPr>
            <w:tcW w:w="20%" w:type="pct"/>
          </w:tcPr>
          <w:p>
            <w:pPr>
              <w:pStyle w:val="Tabletext"/>
            </w:pPr>
          </w:p>
        </w:tc>
      </w:tr>
    </w:tbl>
    <w:p>
      <w:r>
        <w:t xml:space="preserve"> </w:t>
      </w:r>
    </w:p>
    <w:p>
      <w:pPr>
        <w:pStyle w:val="Instructions"/>
      </w:pPr>
      <w:r>
        <w:rPr/>
        <w:t xml:space="preserve">Location: Element location code or project specific identifier.</w:t>
      </w:r>
    </w:p>
    <w:p>
      <w:pPr>
        <w:pStyle w:val="Instructions"/>
      </w:pPr>
      <w:r>
        <w:rPr/>
        <w:t xml:space="preserve">AESS category:</w:t>
      </w:r>
    </w:p>
    <w:p>
      <w:pPr>
        <w:pStyle w:val="Instructionsindent"/>
      </w:pPr>
      <w:r>
        <w:rPr/>
        <w:t xml:space="preserve">AESS 1: Basic elements requiring enhanced workmanship.</w:t>
      </w:r>
    </w:p>
    <w:p>
      <w:pPr>
        <w:pStyle w:val="Instructionsindent"/>
      </w:pPr>
      <w:r>
        <w:rPr/>
        <w:t xml:space="preserve">AESS 2: Feature elements viewed at a distance greater than 6 m.</w:t>
      </w:r>
    </w:p>
    <w:p>
      <w:pPr>
        <w:pStyle w:val="Instructionsindent"/>
      </w:pPr>
      <w:r>
        <w:rPr/>
        <w:t xml:space="preserve">AESS 3: Feature elements viewed at a distance equal to or less than 6 m.</w:t>
      </w:r>
    </w:p>
    <w:p>
      <w:pPr>
        <w:pStyle w:val="Instructionsindent"/>
      </w:pPr>
      <w:r>
        <w:rPr/>
        <w:t xml:space="preserve">AESS 4: Showcase elements where form is the only visible feature.</w:t>
      </w:r>
    </w:p>
    <w:p>
      <w:pPr>
        <w:pStyle w:val="Instructionsindent"/>
      </w:pPr>
      <w:r>
        <w:rPr/>
        <w:t xml:space="preserve">AESS C: Custom elements, which may select any of the requirements from the AESS categories.</w:t>
      </w:r>
    </w:p>
    <w:p>
      <w:pPr>
        <w:pStyle w:val="Instructions"/>
      </w:pPr>
      <w:r>
        <w:rPr/>
        <w:t xml:space="preserve">Tolerance: To a specific standard or more stringent requirements, i.e. half the tolerances stated in AS/NZS 5131 (2016).</w:t>
      </w:r>
    </w:p>
    <w:p>
      <w:pPr>
        <w:pStyle w:val="Instructions"/>
      </w:pPr>
      <w:r>
        <w:rPr/>
        <w:t xml:space="preserve">Samples: e.g. 3D rendering, physical sample, first off inspection.</w:t>
      </w:r>
    </w:p>
    <w:p>
      <w:pPr>
        <w:pStyle w:val="Instructions"/>
      </w:pPr>
      <w:r>
        <w:rPr/>
        <w:t xml:space="preserve">Connections: e.g. All welded, as documented.</w:t>
      </w:r>
    </w:p>
    <w:bookmarkEnd w:id="284"/>
    <w:bookmarkStart w:name="f-10154-7" w:id="286"/>
    <w:p>
      <w:pPr>
        <w:pStyle w:val="Heading4"/>
      </w:pPr>
      <w:bookmarkStart w:name="h-10154-7" w:id="287"/>
      <w:r>
        <w:rPr/>
        <w:t xml:space="preserve">Special finishes schedule</w:t>
      </w:r>
      <w:bookmarkEnd w:id="287"/>
    </w:p>
    <w:tbl>
      <w:tblPr>
        <w:tblStyle w:val="NATSPECTable"/>
        <w:tblW w:w="5000" w:type="pct"/>
        <w:tblLook w:firstRow="1" w:lastRow="0" w:firstColumn="0" w:lastColumn="0"/>
      </w:tblPr>
      <w:tr>
        <w:trPr>
          <w:tblHeader/>
        </w:trPr>
        <w:tc>
          <w:tcPr>
            <w:tcW w:w="34%" w:type="pct"/>
          </w:tcPr>
          <w:p>
            <w:pPr>
              <w:pStyle w:val="Tabletitle"/>
            </w:pPr>
            <w:r>
              <w:rPr/>
              <w:t xml:space="preserve">Steelwork location</w:t>
            </w:r>
          </w:p>
        </w:tc>
        <w:tc>
          <w:tcPr>
            <w:tcW w:w="33%" w:type="pct"/>
          </w:tcPr>
          <w:p>
            <w:pPr>
              <w:pStyle w:val="Tabletitle"/>
            </w:pPr>
            <w:r>
              <w:rPr/>
              <w:t xml:space="preserve">Shop or site application</w:t>
            </w:r>
          </w:p>
        </w:tc>
        <w:tc>
          <w:tcPr>
            <w:tcW w:w="33%" w:type="pct"/>
          </w:tcPr>
          <w:p>
            <w:pPr>
              <w:pStyle w:val="Tabletitle"/>
            </w:pPr>
            <w:r>
              <w:rPr/>
              <w:t xml:space="preserve">Defined special finish</w:t>
            </w:r>
          </w:p>
        </w:tc>
      </w:tr>
      <w:tr>
        <w:trPr/>
        <w:tc>
          <w:tcPr>
            <w:tcW w:w="34%" w:type="pct"/>
          </w:tcPr>
          <w:p>
            <w:pPr>
              <w:pStyle w:val="Tabletext"/>
            </w:pPr>
          </w:p>
        </w:tc>
        <w:tc>
          <w:tcPr>
            <w:tcW w:w="33%" w:type="pct"/>
          </w:tcPr>
          <w:p>
            <w:pPr>
              <w:pStyle w:val="Tabletext"/>
            </w:pPr>
          </w:p>
        </w:tc>
        <w:tc>
          <w:tcPr>
            <w:tcW w:w="33%" w:type="pct"/>
          </w:tcPr>
          <w:p>
            <w:pPr>
              <w:pStyle w:val="Tabletext"/>
            </w:pPr>
          </w:p>
        </w:tc>
      </w:tr>
      <w:tr>
        <w:trPr/>
        <w:tc>
          <w:tcPr>
            <w:tcW w:w="34%" w:type="pct"/>
          </w:tcPr>
          <w:p>
            <w:pPr>
              <w:pStyle w:val="Tabletext"/>
            </w:pPr>
          </w:p>
        </w:tc>
        <w:tc>
          <w:tcPr>
            <w:tcW w:w="33%" w:type="pct"/>
          </w:tcPr>
          <w:p>
            <w:pPr>
              <w:pStyle w:val="Tabletext"/>
            </w:pPr>
          </w:p>
        </w:tc>
        <w:tc>
          <w:tcPr>
            <w:tcW w:w="33%" w:type="pct"/>
          </w:tcPr>
          <w:p>
            <w:pPr>
              <w:pStyle w:val="Tabletext"/>
            </w:pPr>
          </w:p>
        </w:tc>
      </w:tr>
      <w:tr>
        <w:trPr/>
        <w:tc>
          <w:tcPr>
            <w:tcW w:w="34%" w:type="pct"/>
          </w:tcPr>
          <w:p>
            <w:pPr>
              <w:pStyle w:val="Tabletext"/>
            </w:pPr>
          </w:p>
        </w:tc>
        <w:tc>
          <w:tcPr>
            <w:tcW w:w="33%" w:type="pct"/>
          </w:tcPr>
          <w:p>
            <w:pPr>
              <w:pStyle w:val="Tabletext"/>
            </w:pPr>
          </w:p>
        </w:tc>
        <w:tc>
          <w:tcPr>
            <w:tcW w:w="33%" w:type="pct"/>
          </w:tcPr>
          <w:p>
            <w:pPr>
              <w:pStyle w:val="Tabletext"/>
            </w:pPr>
          </w:p>
        </w:tc>
      </w:tr>
    </w:tbl>
    <w:p>
      <w:r>
        <w:t xml:space="preserve"> </w:t>
      </w:r>
    </w:p>
    <w:p>
      <w:pPr>
        <w:pStyle w:val="Instructions"/>
      </w:pPr>
      <w:r>
        <w:rPr/>
        <w:t xml:space="preserve">Define here any special finishes required, and their applicable steelwork locations. If the special finishes require the steelwork to be classified as AESS, then document the requirements in </w:t>
      </w:r>
      <w:r>
        <w:rPr>
          <w:b/>
        </w:rPr>
        <w:t xml:space="preserve">ARCHITECTURALLY EXPOSED STRUCTURAL STEELWORK</w:t>
      </w:r>
      <w:r>
        <w:rPr/>
        <w:t xml:space="preserve">.</w:t>
      </w:r>
    </w:p>
    <w:bookmarkEnd w:id="286"/>
    <w:bookmarkStart w:name="f-10154-8" w:id="288"/>
    <w:p>
      <w:pPr>
        <w:pStyle w:val="Heading4"/>
      </w:pPr>
      <w:bookmarkStart w:name="h-10154-8" w:id="289"/>
      <w:r>
        <w:rPr/>
        <w:t xml:space="preserve">Metal spray schedule</w:t>
      </w:r>
      <w:bookmarkEnd w:id="289"/>
    </w:p>
    <w:tbl>
      <w:tblPr>
        <w:tblStyle w:val="NATSPECTable"/>
        <w:tblW w:w="5000" w:type="pct"/>
        <w:tblLook w:firstRow="1" w:lastRow="0" w:firstColumn="0" w:lastColumn="0"/>
      </w:tblPr>
      <w:tr>
        <w:trPr>
          <w:tblHeader/>
        </w:trPr>
        <w:tc>
          <w:tcPr>
            <w:tcW w:w="20%" w:type="pct"/>
          </w:tcPr>
          <w:p>
            <w:pPr>
              <w:pStyle w:val="Tabletitle"/>
            </w:pPr>
            <w:r>
              <w:rPr/>
              <w:t xml:space="preserve">Steel member or surface</w:t>
            </w:r>
          </w:p>
        </w:tc>
        <w:tc>
          <w:tcPr>
            <w:tcW w:w="20%" w:type="pct"/>
          </w:tcPr>
          <w:p>
            <w:pPr>
              <w:pStyle w:val="Tabletitle"/>
            </w:pPr>
            <w:r>
              <w:rPr/>
              <w:t xml:space="preserve">Abrasive blast cleaning to AS 1627.4 (2005)</w:t>
            </w:r>
          </w:p>
        </w:tc>
        <w:tc>
          <w:tcPr>
            <w:tcW w:w="20%" w:type="pct"/>
          </w:tcPr>
          <w:p>
            <w:pPr>
              <w:pStyle w:val="Tabletitle"/>
            </w:pPr>
            <w:r>
              <w:rPr/>
              <w:t xml:space="preserve">Metal spray type</w:t>
            </w:r>
          </w:p>
        </w:tc>
        <w:tc>
          <w:tcPr>
            <w:tcW w:w="20%" w:type="pct"/>
          </w:tcPr>
          <w:p>
            <w:pPr>
              <w:pStyle w:val="Tabletitle"/>
            </w:pPr>
            <w:r>
              <w:rPr/>
              <w:t xml:space="preserve">Minimum thickness (µm)</w:t>
            </w:r>
          </w:p>
        </w:tc>
        <w:tc>
          <w:tcPr>
            <w:tcW w:w="20%" w:type="pct"/>
          </w:tcPr>
          <w:p>
            <w:pPr>
              <w:pStyle w:val="Tabletitle"/>
            </w:pPr>
            <w:r>
              <w:rPr/>
              <w:t xml:space="preserve">Seal coat</w:t>
            </w:r>
          </w:p>
        </w:tc>
      </w:tr>
      <w:tr>
        <w:trPr/>
        <w:tc>
          <w:tcPr>
            <w:tcW w:w="20%" w:type="pct"/>
          </w:tcPr>
          <w:p>
            <w:pPr>
              <w:pStyle w:val="Tabletext"/>
            </w:pPr>
          </w:p>
        </w:tc>
        <w:tc>
          <w:tcPr>
            <w:tcW w:w="20%" w:type="pct"/>
          </w:tcPr>
          <w:p>
            <w:pPr>
              <w:pStyle w:val="Tabletext"/>
            </w:pPr>
          </w:p>
        </w:tc>
        <w:tc>
          <w:tcPr>
            <w:tcW w:w="20%" w:type="pct"/>
          </w:tcPr>
          <w:p>
            <w:pPr>
              <w:pStyle w:val="Tabletext"/>
            </w:pPr>
          </w:p>
        </w:tc>
        <w:tc>
          <w:tcPr>
            <w:tcW w:w="20%" w:type="pct"/>
          </w:tcPr>
          <w:p>
            <w:pPr>
              <w:pStyle w:val="Tabletext"/>
            </w:pPr>
          </w:p>
        </w:tc>
        <w:tc>
          <w:tcPr>
            <w:tcW w:w="20%" w:type="pct"/>
          </w:tcPr>
          <w:p>
            <w:pPr>
              <w:pStyle w:val="Tabletext"/>
            </w:pPr>
          </w:p>
        </w:tc>
      </w:tr>
      <w:tr>
        <w:trPr/>
        <w:tc>
          <w:tcPr>
            <w:tcW w:w="20%" w:type="pct"/>
          </w:tcPr>
          <w:p>
            <w:pPr>
              <w:pStyle w:val="Tabletext"/>
            </w:pPr>
          </w:p>
        </w:tc>
        <w:tc>
          <w:tcPr>
            <w:tcW w:w="20%" w:type="pct"/>
          </w:tcPr>
          <w:p>
            <w:pPr>
              <w:pStyle w:val="Tabletext"/>
            </w:pPr>
          </w:p>
        </w:tc>
        <w:tc>
          <w:tcPr>
            <w:tcW w:w="20%" w:type="pct"/>
          </w:tcPr>
          <w:p>
            <w:pPr>
              <w:pStyle w:val="Tabletext"/>
            </w:pPr>
          </w:p>
        </w:tc>
        <w:tc>
          <w:tcPr>
            <w:tcW w:w="20%" w:type="pct"/>
          </w:tcPr>
          <w:p>
            <w:pPr>
              <w:pStyle w:val="Tabletext"/>
            </w:pPr>
          </w:p>
        </w:tc>
        <w:tc>
          <w:tcPr>
            <w:tcW w:w="20%" w:type="pct"/>
          </w:tcPr>
          <w:p>
            <w:pPr>
              <w:pStyle w:val="Tabletext"/>
            </w:pPr>
          </w:p>
        </w:tc>
      </w:tr>
      <w:tr>
        <w:trPr/>
        <w:tc>
          <w:tcPr>
            <w:tcW w:w="20%" w:type="pct"/>
          </w:tcPr>
          <w:p>
            <w:pPr>
              <w:pStyle w:val="Tabletext"/>
            </w:pPr>
          </w:p>
        </w:tc>
        <w:tc>
          <w:tcPr>
            <w:tcW w:w="20%" w:type="pct"/>
          </w:tcPr>
          <w:p>
            <w:pPr>
              <w:pStyle w:val="Tabletext"/>
            </w:pPr>
          </w:p>
        </w:tc>
        <w:tc>
          <w:tcPr>
            <w:tcW w:w="20%" w:type="pct"/>
          </w:tcPr>
          <w:p>
            <w:pPr>
              <w:pStyle w:val="Tabletext"/>
            </w:pPr>
          </w:p>
        </w:tc>
        <w:tc>
          <w:tcPr>
            <w:tcW w:w="20%" w:type="pct"/>
          </w:tcPr>
          <w:p>
            <w:pPr>
              <w:pStyle w:val="Tabletext"/>
            </w:pPr>
          </w:p>
        </w:tc>
        <w:tc>
          <w:tcPr>
            <w:tcW w:w="20%" w:type="pct"/>
          </w:tcPr>
          <w:p>
            <w:pPr>
              <w:pStyle w:val="Tabletext"/>
            </w:pPr>
          </w:p>
        </w:tc>
      </w:tr>
    </w:tbl>
    <w:p>
      <w:r>
        <w:t xml:space="preserve"> </w:t>
      </w:r>
    </w:p>
    <w:p>
      <w:pPr>
        <w:pStyle w:val="Instructions"/>
      </w:pPr>
      <w:r>
        <w:rPr/>
        <w:t xml:space="preserve">Abrasive blast cleaning to AS 1627.4 (2005): e.g. grit blasting to Sa 2½ or Sa 3 to ISO 8501-1 (1988) as cited in AS 1627.9 (2002) with a profile height of 50 µm or 75 µm.</w:t>
      </w:r>
    </w:p>
    <w:p>
      <w:pPr>
        <w:pStyle w:val="Instructions"/>
      </w:pPr>
      <w:r>
        <w:rPr/>
        <w:t xml:space="preserve">Metal spray type: e.g. Zinc, Aluminium, Duplex, or Composite metal spray/paint systems.</w:t>
      </w:r>
    </w:p>
    <w:p>
      <w:pPr>
        <w:pStyle w:val="Instructions"/>
      </w:pPr>
      <w:r>
        <w:rPr/>
        <w:t xml:space="preserve">Minimum thickness: Nominate required thickness. e.g. Indoor applications: 125 µm. Outdoor applications: 175 µm.</w:t>
      </w:r>
    </w:p>
    <w:p>
      <w:pPr>
        <w:pStyle w:val="Instructions"/>
      </w:pPr>
      <w:r>
        <w:rPr/>
        <w:t xml:space="preserve">Seal coat: Required for enhanced performance in aggressive environments, or as a decorative finish. If a seal coat is required to metal spray finishes, state requirements. e.g. Two coats of vinyl seal to a total dry film thickness of 80 µm. Usually not required where composite systems are used.</w:t>
      </w:r>
    </w:p>
    <w:bookmarkEnd w:id="288"/>
    <w:bookmarkEnd w:id="266"/>
    <w:bookmarkEnd w:id="27"/>
    <w:bookmarkStart w:name="f-10157-bibliography" w:id="290"/>
    <w:bookmarkStart w:name="f-10155" w:id="291"/>
    <w:bookmarkStart w:name="f-10155-1" w:id="292"/>
    <w:p>
      <w:pPr>
        <w:pStyle w:val="InstructionsHeading4"/>
      </w:pPr>
      <w:bookmarkStart w:name="h-10155-1" w:id="293"/>
      <w:r>
        <w:rPr/>
        <w:t xml:space="preserve">REFERENCED DOCUMENTS</w:t>
      </w:r>
      <w:bookmarkEnd w:id="293"/>
    </w:p>
    <w:bookmarkEnd w:id="292"/>
    <w:p>
      <w:pPr>
        <w:pStyle w:val="Instructions"/>
      </w:pPr>
      <w:r>
        <w:rPr>
          <w:b/>
        </w:rPr>
        <w:t xml:space="preserve">The following documents are incorporated into this worksection by reference:</w:t>
      </w:r>
    </w:p>
    <w:bookmarkStart w:name="f-10155-10_01110_000-000" w:id="294"/>
    <w:p>
      <w:pPr>
        <w:pStyle w:val="Standard1"/>
      </w:pPr>
      <w:r>
        <w:rPr/>
        <w:t xml:space="preserve">AS 1110</w:t>
      </w:r>
      <w:r>
        <w:tab/>
      </w:r>
      <w:r>
        <w:tab/>
      </w:r>
      <w:r>
        <w:rPr/>
        <w:t xml:space="preserve">ISO metric hexagon bolts and screws - Product grades A and B</w:t>
      </w:r>
    </w:p>
    <w:bookmarkEnd w:id="294"/>
    <w:bookmarkStart w:name="f-10155-10_01110_001-000_2015" w:id="295"/>
    <w:p>
      <w:pPr>
        <w:pStyle w:val="Standard2"/>
      </w:pPr>
      <w:r>
        <w:rPr/>
        <w:t xml:space="preserve">AS 1110.1</w:t>
      </w:r>
      <w:r>
        <w:tab/>
      </w:r>
      <w:r>
        <w:rPr/>
        <w:t xml:space="preserve">2015</w:t>
      </w:r>
      <w:r>
        <w:tab/>
      </w:r>
      <w:r>
        <w:rPr/>
        <w:t xml:space="preserve">Bolts</w:t>
      </w:r>
    </w:p>
    <w:bookmarkEnd w:id="295"/>
    <w:bookmarkStart w:name="f-10155-10_01111_000-000" w:id="296"/>
    <w:p>
      <w:pPr>
        <w:pStyle w:val="Standard1"/>
      </w:pPr>
      <w:r>
        <w:rPr/>
        <w:t xml:space="preserve">AS 1111</w:t>
      </w:r>
      <w:r>
        <w:tab/>
      </w:r>
      <w:r>
        <w:tab/>
      </w:r>
      <w:r>
        <w:rPr/>
        <w:t xml:space="preserve">ISO metric hexagon bolts and screws - Product grade C</w:t>
      </w:r>
    </w:p>
    <w:bookmarkEnd w:id="296"/>
    <w:bookmarkStart w:name="f-10155-10_01111_001-000_2015" w:id="297"/>
    <w:p>
      <w:pPr>
        <w:pStyle w:val="Standard2"/>
      </w:pPr>
      <w:r>
        <w:rPr/>
        <w:t xml:space="preserve">AS 1111.1</w:t>
      </w:r>
      <w:r>
        <w:tab/>
      </w:r>
      <w:r>
        <w:rPr/>
        <w:t xml:space="preserve">2015</w:t>
      </w:r>
      <w:r>
        <w:tab/>
      </w:r>
      <w:r>
        <w:rPr/>
        <w:t xml:space="preserve">Bolts</w:t>
      </w:r>
    </w:p>
    <w:bookmarkEnd w:id="297"/>
    <w:bookmarkStart w:name="f-10155-10_01112_000-000" w:id="298"/>
    <w:p>
      <w:pPr>
        <w:pStyle w:val="Standard1"/>
      </w:pPr>
      <w:r>
        <w:rPr/>
        <w:t xml:space="preserve">AS 1112</w:t>
      </w:r>
      <w:r>
        <w:tab/>
      </w:r>
      <w:r>
        <w:tab/>
      </w:r>
      <w:r>
        <w:rPr/>
        <w:t xml:space="preserve">ISO metric hexagon nuts</w:t>
      </w:r>
    </w:p>
    <w:bookmarkEnd w:id="298"/>
    <w:bookmarkStart w:name="f-10155-10_01112_001-000_2015" w:id="299"/>
    <w:p>
      <w:pPr>
        <w:pStyle w:val="Standard2"/>
      </w:pPr>
      <w:r>
        <w:rPr/>
        <w:t xml:space="preserve">AS 1112.1</w:t>
      </w:r>
      <w:r>
        <w:tab/>
      </w:r>
      <w:r>
        <w:rPr/>
        <w:t xml:space="preserve">2015</w:t>
      </w:r>
      <w:r>
        <w:tab/>
      </w:r>
      <w:r>
        <w:rPr/>
        <w:t xml:space="preserve">Style 1 - Product grades A and B</w:t>
      </w:r>
    </w:p>
    <w:bookmarkEnd w:id="299"/>
    <w:bookmarkStart w:name="f-10155-10_01112_002-000_2015" w:id="300"/>
    <w:p>
      <w:pPr>
        <w:pStyle w:val="Standard2"/>
      </w:pPr>
      <w:r>
        <w:rPr/>
        <w:t xml:space="preserve">AS 1112.2</w:t>
      </w:r>
      <w:r>
        <w:tab/>
      </w:r>
      <w:r>
        <w:rPr/>
        <w:t xml:space="preserve">2015</w:t>
      </w:r>
      <w:r>
        <w:tab/>
      </w:r>
      <w:r>
        <w:rPr/>
        <w:t xml:space="preserve">Style 2 - Product grades A and B</w:t>
      </w:r>
    </w:p>
    <w:bookmarkEnd w:id="300"/>
    <w:bookmarkStart w:name="f-10155-10_01112_003-000_2015" w:id="301"/>
    <w:p>
      <w:pPr>
        <w:pStyle w:val="Standard2"/>
      </w:pPr>
      <w:r>
        <w:rPr/>
        <w:t xml:space="preserve">AS 1112.3</w:t>
      </w:r>
      <w:r>
        <w:tab/>
      </w:r>
      <w:r>
        <w:rPr/>
        <w:t xml:space="preserve">2015</w:t>
      </w:r>
      <w:r>
        <w:tab/>
      </w:r>
      <w:r>
        <w:rPr/>
        <w:t xml:space="preserve">Product grade C</w:t>
      </w:r>
    </w:p>
    <w:bookmarkEnd w:id="301"/>
    <w:bookmarkStart w:name="f-10155-10_01112_004-000_2015" w:id="302"/>
    <w:p>
      <w:pPr>
        <w:pStyle w:val="Standard2"/>
      </w:pPr>
      <w:r>
        <w:rPr/>
        <w:t xml:space="preserve">AS 1112.4</w:t>
      </w:r>
      <w:r>
        <w:tab/>
      </w:r>
      <w:r>
        <w:rPr/>
        <w:t xml:space="preserve">2015</w:t>
      </w:r>
      <w:r>
        <w:tab/>
      </w:r>
      <w:r>
        <w:rPr/>
        <w:t xml:space="preserve">Chamfered thin nuts - Product grades A and B</w:t>
      </w:r>
    </w:p>
    <w:bookmarkEnd w:id="302"/>
    <w:bookmarkStart w:name="f-10155-10_01163_000-000_2016" w:id="303"/>
    <w:p>
      <w:pPr>
        <w:pStyle w:val="Standard1"/>
      </w:pPr>
      <w:r>
        <w:rPr/>
        <w:t xml:space="preserve">AS/NZS 1163</w:t>
      </w:r>
      <w:r>
        <w:tab/>
      </w:r>
      <w:r>
        <w:rPr/>
        <w:t xml:space="preserve">2016</w:t>
      </w:r>
      <w:r>
        <w:tab/>
      </w:r>
      <w:r>
        <w:rPr/>
        <w:t xml:space="preserve">Cold-formed structural steel hollow sections</w:t>
      </w:r>
    </w:p>
    <w:bookmarkEnd w:id="303"/>
    <w:bookmarkStart w:name="f-10155-10_01214_000-000_2016" w:id="304"/>
    <w:p>
      <w:pPr>
        <w:pStyle w:val="Standard1"/>
      </w:pPr>
      <w:r>
        <w:rPr/>
        <w:t xml:space="preserve">AS/NZS 1214</w:t>
      </w:r>
      <w:r>
        <w:tab/>
      </w:r>
      <w:r>
        <w:rPr/>
        <w:t xml:space="preserve">2016</w:t>
      </w:r>
      <w:r>
        <w:tab/>
      </w:r>
      <w:r>
        <w:rPr/>
        <w:t xml:space="preserve">Hot-dip galvanized coatings on threaded fasteners (ISO metric coarse thread series) (ISO 10684:2004, MOD)</w:t>
      </w:r>
    </w:p>
    <w:bookmarkEnd w:id="304"/>
    <w:bookmarkStart w:name="f-10155-10_01237_000-000" w:id="305"/>
    <w:p>
      <w:pPr>
        <w:pStyle w:val="Standard1"/>
      </w:pPr>
      <w:r>
        <w:rPr/>
        <w:t xml:space="preserve">AS 1237</w:t>
      </w:r>
      <w:r>
        <w:tab/>
      </w:r>
      <w:r>
        <w:tab/>
      </w:r>
      <w:r>
        <w:rPr/>
        <w:t xml:space="preserve">Plain washers for metric bolts, screws and nuts for general purposes</w:t>
      </w:r>
    </w:p>
    <w:bookmarkEnd w:id="305"/>
    <w:bookmarkStart w:name="f-10155-10_01237_001-000_2002" w:id="306"/>
    <w:p>
      <w:pPr>
        <w:pStyle w:val="Standard2"/>
      </w:pPr>
      <w:r>
        <w:rPr/>
        <w:t xml:space="preserve">AS 1237.1</w:t>
      </w:r>
      <w:r>
        <w:tab/>
      </w:r>
      <w:r>
        <w:rPr/>
        <w:t xml:space="preserve">2002</w:t>
      </w:r>
      <w:r>
        <w:tab/>
      </w:r>
      <w:r>
        <w:rPr/>
        <w:t xml:space="preserve">General plan</w:t>
      </w:r>
    </w:p>
    <w:bookmarkEnd w:id="306"/>
    <w:bookmarkStart w:name="f-10155-10_01252_000-000" w:id="307"/>
    <w:p>
      <w:pPr>
        <w:pStyle w:val="Standard1"/>
      </w:pPr>
      <w:r>
        <w:rPr/>
        <w:t xml:space="preserve">AS/NZS 1252</w:t>
      </w:r>
      <w:r>
        <w:tab/>
      </w:r>
      <w:r>
        <w:tab/>
      </w:r>
      <w:r>
        <w:rPr/>
        <w:t xml:space="preserve">High-strength steel fastener assemblies for structural engineering - Bolts, nuts and washers</w:t>
      </w:r>
    </w:p>
    <w:bookmarkEnd w:id="307"/>
    <w:bookmarkStart w:name="f-10155-10_01252_001-000_2016" w:id="308"/>
    <w:p>
      <w:pPr>
        <w:pStyle w:val="Standard2"/>
      </w:pPr>
      <w:r>
        <w:rPr/>
        <w:t xml:space="preserve">AS/NZS 1252.1</w:t>
      </w:r>
      <w:r>
        <w:tab/>
      </w:r>
      <w:r>
        <w:rPr/>
        <w:t xml:space="preserve">2016</w:t>
      </w:r>
      <w:r>
        <w:tab/>
      </w:r>
      <w:r>
        <w:rPr/>
        <w:t xml:space="preserve">Technical requirements</w:t>
      </w:r>
    </w:p>
    <w:bookmarkEnd w:id="308"/>
    <w:bookmarkStart w:name="f-10155-10_01252_002-000_2016" w:id="309"/>
    <w:p>
      <w:pPr>
        <w:pStyle w:val="Standard2"/>
      </w:pPr>
      <w:r>
        <w:rPr/>
        <w:t xml:space="preserve">AS/NZS 1252.2</w:t>
      </w:r>
      <w:r>
        <w:tab/>
      </w:r>
      <w:r>
        <w:rPr/>
        <w:t xml:space="preserve">2016</w:t>
      </w:r>
      <w:r>
        <w:tab/>
      </w:r>
      <w:r>
        <w:rPr/>
        <w:t xml:space="preserve">Verification testing for bolt assemblies</w:t>
      </w:r>
    </w:p>
    <w:bookmarkEnd w:id="309"/>
    <w:bookmarkStart w:name="f-10155-10_01397_000-000_2021" w:id="310"/>
    <w:p>
      <w:pPr>
        <w:pStyle w:val="Standard1"/>
      </w:pPr>
      <w:r>
        <w:rPr/>
        <w:t xml:space="preserve">AS 1397</w:t>
      </w:r>
      <w:r>
        <w:tab/>
      </w:r>
      <w:r>
        <w:rPr/>
        <w:t xml:space="preserve">2021</w:t>
      </w:r>
      <w:r>
        <w:tab/>
      </w:r>
      <w:r>
        <w:rPr/>
        <w:t xml:space="preserve">Continuous hot-dip metallic coated steel sheet and strip - Coatings of zinc and zinc alloyed with aluminium and magnesium</w:t>
      </w:r>
    </w:p>
    <w:bookmarkEnd w:id="310"/>
    <w:bookmarkStart w:name="f-10155-10_01418_000-000" w:id="311"/>
    <w:p>
      <w:pPr>
        <w:pStyle w:val="Standard1"/>
      </w:pPr>
      <w:r>
        <w:rPr/>
        <w:t xml:space="preserve">AS 1418</w:t>
      </w:r>
      <w:r>
        <w:tab/>
      </w:r>
      <w:r>
        <w:tab/>
      </w:r>
      <w:r>
        <w:rPr/>
        <w:t xml:space="preserve">Cranes, hoists and winches</w:t>
      </w:r>
    </w:p>
    <w:bookmarkEnd w:id="311"/>
    <w:bookmarkStart w:name="f-10155-10_01418_018-000_2001" w:id="312"/>
    <w:p>
      <w:pPr>
        <w:pStyle w:val="Standard2"/>
      </w:pPr>
      <w:r>
        <w:rPr/>
        <w:t xml:space="preserve">AS 1418.18</w:t>
      </w:r>
      <w:r>
        <w:tab/>
      </w:r>
      <w:r>
        <w:rPr/>
        <w:t xml:space="preserve">2024</w:t>
      </w:r>
      <w:r>
        <w:tab/>
      </w:r>
      <w:r>
        <w:rPr/>
        <w:t xml:space="preserve">Crane runways and monorails</w:t>
      </w:r>
    </w:p>
    <w:bookmarkEnd w:id="312"/>
    <w:bookmarkStart w:name="f-10155-10_01554_000-000" w:id="313"/>
    <w:p>
      <w:pPr>
        <w:pStyle w:val="Standard1"/>
      </w:pPr>
      <w:r>
        <w:rPr/>
        <w:t xml:space="preserve">AS/NZS 1554</w:t>
      </w:r>
      <w:r>
        <w:tab/>
      </w:r>
      <w:r>
        <w:tab/>
      </w:r>
      <w:r>
        <w:rPr/>
        <w:t xml:space="preserve">Structural steel welding</w:t>
      </w:r>
    </w:p>
    <w:bookmarkEnd w:id="313"/>
    <w:bookmarkStart w:name="f-10155-10_01554_001-000_2014" w:id="314"/>
    <w:p>
      <w:pPr>
        <w:pStyle w:val="Standard2"/>
      </w:pPr>
      <w:r>
        <w:rPr/>
        <w:t xml:space="preserve">AS/NZS 1554.1</w:t>
      </w:r>
      <w:r>
        <w:tab/>
      </w:r>
      <w:r>
        <w:rPr/>
        <w:t xml:space="preserve">2014</w:t>
      </w:r>
      <w:r>
        <w:tab/>
      </w:r>
      <w:r>
        <w:rPr/>
        <w:t xml:space="preserve">Welding of steel structures</w:t>
      </w:r>
    </w:p>
    <w:bookmarkEnd w:id="314"/>
    <w:bookmarkStart w:name="f-10155-10_01594_000-000_2002" w:id="315"/>
    <w:p>
      <w:pPr>
        <w:pStyle w:val="Standard1"/>
      </w:pPr>
      <w:r>
        <w:rPr/>
        <w:t xml:space="preserve">AS/NZS 1594</w:t>
      </w:r>
      <w:r>
        <w:tab/>
      </w:r>
      <w:r>
        <w:rPr/>
        <w:t xml:space="preserve">2002</w:t>
      </w:r>
      <w:r>
        <w:tab/>
      </w:r>
      <w:r>
        <w:rPr/>
        <w:t xml:space="preserve">Hot-rolled steel flat products</w:t>
      </w:r>
    </w:p>
    <w:bookmarkEnd w:id="315"/>
    <w:bookmarkStart w:name="f-10155-10_01627_000-000" w:id="316"/>
    <w:p>
      <w:pPr>
        <w:pStyle w:val="Standard1"/>
      </w:pPr>
      <w:r>
        <w:rPr/>
        <w:t xml:space="preserve">AS 1627</w:t>
      </w:r>
      <w:r>
        <w:tab/>
      </w:r>
      <w:r>
        <w:tab/>
      </w:r>
      <w:r>
        <w:rPr/>
        <w:t xml:space="preserve">Metal finishing - Preparation and pretreatment of surfaces</w:t>
      </w:r>
    </w:p>
    <w:bookmarkEnd w:id="316"/>
    <w:bookmarkStart w:name="f-10155-10_01627_004-000_2005" w:id="317"/>
    <w:p>
      <w:pPr>
        <w:pStyle w:val="Standard2"/>
      </w:pPr>
      <w:r>
        <w:rPr/>
        <w:t xml:space="preserve">AS 1627.4</w:t>
      </w:r>
      <w:r>
        <w:tab/>
      </w:r>
      <w:r>
        <w:rPr/>
        <w:t xml:space="preserve">2005</w:t>
      </w:r>
      <w:r>
        <w:tab/>
      </w:r>
      <w:r>
        <w:rPr/>
        <w:t xml:space="preserve">Abrasive blast cleaning of steel</w:t>
      </w:r>
    </w:p>
    <w:bookmarkEnd w:id="317"/>
    <w:bookmarkStart w:name="f-10155-10_01710_000-000_2007" w:id="318"/>
    <w:p>
      <w:pPr>
        <w:pStyle w:val="Standard1"/>
      </w:pPr>
      <w:r>
        <w:rPr/>
        <w:t xml:space="preserve">AS 1710</w:t>
      </w:r>
      <w:r>
        <w:tab/>
      </w:r>
      <w:r>
        <w:rPr/>
        <w:t xml:space="preserve">2007</w:t>
      </w:r>
      <w:r>
        <w:tab/>
      </w:r>
      <w:r>
        <w:rPr/>
        <w:t xml:space="preserve">Non-destructive testing - Ultrasonic testing of carbon and low alloy steel plate and universal sections- Test methods and quality classification</w:t>
      </w:r>
    </w:p>
    <w:bookmarkEnd w:id="318"/>
    <w:bookmarkStart w:name="f-10155-10_02327_000-000_2017" w:id="319"/>
    <w:p>
      <w:pPr>
        <w:pStyle w:val="Standard1"/>
      </w:pPr>
      <w:r>
        <w:rPr/>
        <w:t xml:space="preserve">AS/NZS 2327</w:t>
      </w:r>
      <w:r>
        <w:tab/>
      </w:r>
      <w:r>
        <w:rPr/>
        <w:t xml:space="preserve">2017</w:t>
      </w:r>
      <w:r>
        <w:tab/>
      </w:r>
      <w:r>
        <w:rPr/>
        <w:t xml:space="preserve">Composite structures - Composite steel-concrete construction in buildings</w:t>
      </w:r>
    </w:p>
    <w:bookmarkEnd w:id="319"/>
    <w:bookmarkStart w:name="f-10155-10_03678_000-000_2016" w:id="320"/>
    <w:p>
      <w:pPr>
        <w:pStyle w:val="Standard1"/>
      </w:pPr>
      <w:r>
        <w:rPr/>
        <w:t xml:space="preserve">AS/NZS 3678</w:t>
      </w:r>
      <w:r>
        <w:tab/>
      </w:r>
      <w:r>
        <w:rPr/>
        <w:t xml:space="preserve">2016</w:t>
      </w:r>
      <w:r>
        <w:tab/>
      </w:r>
      <w:r>
        <w:rPr/>
        <w:t xml:space="preserve">Structural steel - Hot-rolled plates, floorplates and slabs</w:t>
      </w:r>
    </w:p>
    <w:bookmarkEnd w:id="320"/>
    <w:bookmarkStart w:name="f-10155-10_03679_000-000" w:id="321"/>
    <w:p>
      <w:pPr>
        <w:pStyle w:val="Standard1"/>
      </w:pPr>
      <w:r>
        <w:rPr/>
        <w:t xml:space="preserve">AS/NZS 3679</w:t>
      </w:r>
      <w:r>
        <w:tab/>
      </w:r>
      <w:r>
        <w:tab/>
      </w:r>
      <w:r>
        <w:rPr/>
        <w:t xml:space="preserve">Structural steel</w:t>
      </w:r>
    </w:p>
    <w:bookmarkEnd w:id="321"/>
    <w:bookmarkStart w:name="f-10155-10_03679_001-000_2016" w:id="322"/>
    <w:p>
      <w:pPr>
        <w:pStyle w:val="Standard2"/>
      </w:pPr>
      <w:r>
        <w:rPr/>
        <w:t xml:space="preserve">AS/NZS 3679.1</w:t>
      </w:r>
      <w:r>
        <w:tab/>
      </w:r>
      <w:r>
        <w:rPr/>
        <w:t xml:space="preserve">2016</w:t>
      </w:r>
      <w:r>
        <w:tab/>
      </w:r>
      <w:r>
        <w:rPr/>
        <w:t xml:space="preserve">Hot-rolled bars and sections</w:t>
      </w:r>
    </w:p>
    <w:bookmarkEnd w:id="322"/>
    <w:bookmarkStart w:name="f-10155-10_03679_002-000_2016" w:id="323"/>
    <w:p>
      <w:pPr>
        <w:pStyle w:val="Standard2"/>
      </w:pPr>
      <w:r>
        <w:rPr/>
        <w:t xml:space="preserve">AS/NZS 3679.2</w:t>
      </w:r>
      <w:r>
        <w:tab/>
      </w:r>
      <w:r>
        <w:rPr/>
        <w:t xml:space="preserve">2016</w:t>
      </w:r>
      <w:r>
        <w:tab/>
      </w:r>
      <w:r>
        <w:rPr/>
        <w:t xml:space="preserve">Welded I sections</w:t>
      </w:r>
    </w:p>
    <w:bookmarkEnd w:id="323"/>
    <w:bookmarkStart w:name="f-10155-10_04100_000-000_2020" w:id="324"/>
    <w:p>
      <w:pPr>
        <w:pStyle w:val="Standard1"/>
      </w:pPr>
      <w:r>
        <w:rPr/>
        <w:t xml:space="preserve">AS 4100</w:t>
      </w:r>
      <w:r>
        <w:tab/>
      </w:r>
      <w:r>
        <w:rPr/>
        <w:t xml:space="preserve">2020</w:t>
      </w:r>
      <w:r>
        <w:tab/>
      </w:r>
      <w:r>
        <w:rPr/>
        <w:t xml:space="preserve">Steel structures</w:t>
      </w:r>
    </w:p>
    <w:bookmarkEnd w:id="324"/>
    <w:bookmarkStart w:name="f-10155-10_04600_000-000_2018" w:id="325"/>
    <w:p>
      <w:pPr>
        <w:pStyle w:val="Standard1"/>
      </w:pPr>
      <w:r>
        <w:rPr/>
        <w:t xml:space="preserve">AS/NZS 4600</w:t>
      </w:r>
      <w:r>
        <w:tab/>
      </w:r>
      <w:r>
        <w:rPr/>
        <w:t xml:space="preserve">2018</w:t>
      </w:r>
      <w:r>
        <w:tab/>
      </w:r>
      <w:r>
        <w:rPr/>
        <w:t xml:space="preserve">Cold-formed steel structures</w:t>
      </w:r>
    </w:p>
    <w:bookmarkEnd w:id="325"/>
    <w:bookmarkStart w:name="f-10155-10_05131_000-000_2016" w:id="326"/>
    <w:p>
      <w:pPr>
        <w:pStyle w:val="Standard1"/>
      </w:pPr>
      <w:r>
        <w:rPr/>
        <w:t xml:space="preserve">AS/NZS 5131</w:t>
      </w:r>
      <w:r>
        <w:tab/>
      </w:r>
      <w:r>
        <w:rPr/>
        <w:t xml:space="preserve">2016</w:t>
      </w:r>
      <w:r>
        <w:tab/>
      </w:r>
      <w:r>
        <w:rPr/>
        <w:t xml:space="preserve">Structural steelwork - Fabrication and erection</w:t>
      </w:r>
    </w:p>
    <w:bookmarkEnd w:id="326"/>
    <w:bookmarkStart w:name="f-10155-10_05216_000-000_2021" w:id="327"/>
    <w:p>
      <w:pPr>
        <w:pStyle w:val="Standard1"/>
      </w:pPr>
      <w:r>
        <w:rPr/>
        <w:t xml:space="preserve">AS 5216</w:t>
      </w:r>
      <w:r>
        <w:tab/>
      </w:r>
      <w:r>
        <w:rPr/>
        <w:t xml:space="preserve">2021</w:t>
      </w:r>
      <w:r>
        <w:tab/>
      </w:r>
      <w:r>
        <w:rPr/>
        <w:t xml:space="preserve">Design of post-installed and cast-in fastenings in concrete</w:t>
      </w:r>
    </w:p>
    <w:bookmarkEnd w:id="327"/>
    <w:bookmarkStart w:name="f-10155-15_00102_000-000_2016" w:id="328"/>
    <w:p>
      <w:pPr>
        <w:pStyle w:val="Standard1"/>
      </w:pPr>
      <w:r>
        <w:rPr/>
        <w:t xml:space="preserve">SA TS 102</w:t>
      </w:r>
      <w:r>
        <w:tab/>
      </w:r>
      <w:r>
        <w:rPr/>
        <w:t xml:space="preserve">2016</w:t>
      </w:r>
      <w:r>
        <w:tab/>
      </w:r>
      <w:r>
        <w:rPr/>
        <w:t xml:space="preserve">Structural steel - Limits on elements added</w:t>
      </w:r>
    </w:p>
    <w:bookmarkEnd w:id="328"/>
    <w:bookmarkStart w:name="f-10155-25_FIELDERS_Fact_File_F35_00000_2018" w:id="329"/>
    <w:p>
      <w:pPr>
        <w:pStyle w:val="Standard1"/>
      </w:pPr>
      <w:r>
        <w:rPr/>
        <w:t xml:space="preserve">FIELDERS Fact File F.3.5</w:t>
      </w:r>
      <w:r>
        <w:tab/>
      </w:r>
      <w:r>
        <w:rPr/>
        <w:t xml:space="preserve">2018</w:t>
      </w:r>
      <w:r>
        <w:tab/>
      </w:r>
      <w:r>
        <w:rPr/>
        <w:t xml:space="preserve">Asymmetric beams for SlimFlor construction</w:t>
      </w:r>
    </w:p>
    <w:bookmarkEnd w:id="329"/>
    <w:bookmarkStart w:name="f-10155-25_FIELDERS_KingFlor_Manual_00000_2020" w:id="330"/>
    <w:p>
      <w:pPr>
        <w:pStyle w:val="Standard1"/>
      </w:pPr>
      <w:r>
        <w:rPr/>
        <w:t xml:space="preserve">FIELDERS KingFlor Manual</w:t>
      </w:r>
      <w:r>
        <w:tab/>
      </w:r>
      <w:r>
        <w:rPr/>
        <w:t xml:space="preserve">2020</w:t>
      </w:r>
      <w:r>
        <w:tab/>
      </w:r>
      <w:r>
        <w:rPr/>
        <w:t xml:space="preserve">Specifying Fielders</w:t>
      </w:r>
    </w:p>
    <w:bookmarkEnd w:id="330"/>
    <w:bookmarkStart w:name="f-10155-60_ISO_02063_000000" w:id="331"/>
    <w:p>
      <w:pPr>
        <w:pStyle w:val="Standard1"/>
      </w:pPr>
      <w:r>
        <w:rPr/>
        <w:t xml:space="preserve">ISO 2063</w:t>
      </w:r>
      <w:r>
        <w:tab/>
      </w:r>
      <w:r>
        <w:tab/>
      </w:r>
      <w:r>
        <w:rPr/>
        <w:t xml:space="preserve">Thermal spraying - Zinc, aluminium and their alloys</w:t>
      </w:r>
    </w:p>
    <w:bookmarkEnd w:id="331"/>
    <w:bookmarkStart w:name="f-10155-60_ISO_02063_002000_2017" w:id="332"/>
    <w:p>
      <w:pPr>
        <w:pStyle w:val="Standard2"/>
      </w:pPr>
      <w:r>
        <w:rPr/>
        <w:t xml:space="preserve">ISO 2063-2</w:t>
      </w:r>
      <w:r>
        <w:tab/>
      </w:r>
      <w:r>
        <w:rPr/>
        <w:t xml:space="preserve">2017</w:t>
      </w:r>
      <w:r>
        <w:tab/>
      </w:r>
      <w:r>
        <w:rPr/>
        <w:t xml:space="preserve">Execution of corrosion protection systems</w:t>
      </w:r>
    </w:p>
    <w:bookmarkEnd w:id="332"/>
    <w:p>
      <w:pPr>
        <w:pStyle w:val="Instructions"/>
      </w:pPr>
      <w:r>
        <w:rPr>
          <w:b/>
        </w:rPr>
        <w:t xml:space="preserve">The following documents are mentioned only in the </w:t>
      </w:r>
      <w:r>
        <w:rPr>
          <w:b/>
          <w:i/>
        </w:rPr>
        <w:t xml:space="preserve">Guidance</w:t>
      </w:r>
      <w:r>
        <w:rPr>
          <w:b/>
        </w:rPr>
        <w:t xml:space="preserve"> text:</w:t>
      </w:r>
    </w:p>
    <w:bookmarkStart w:name="f-10155-=10_01554_000-000" w:id="333"/>
    <w:p>
      <w:pPr>
        <w:pStyle w:val="Standard1"/>
      </w:pPr>
      <w:r>
        <w:rPr/>
        <w:t xml:space="preserve">AS/NZS 1554</w:t>
      </w:r>
      <w:r>
        <w:tab/>
      </w:r>
      <w:r>
        <w:tab/>
      </w:r>
      <w:r>
        <w:rPr/>
        <w:t xml:space="preserve">Structural steel welding</w:t>
      </w:r>
    </w:p>
    <w:bookmarkEnd w:id="333"/>
    <w:bookmarkStart w:name="f-10155-10_01554_002-000_2021" w:id="334"/>
    <w:p>
      <w:pPr>
        <w:pStyle w:val="Standard2"/>
      </w:pPr>
      <w:r>
        <w:rPr/>
        <w:t xml:space="preserve">AS 1554.2</w:t>
      </w:r>
      <w:r>
        <w:tab/>
      </w:r>
      <w:r>
        <w:rPr/>
        <w:t xml:space="preserve">2021</w:t>
      </w:r>
      <w:r>
        <w:tab/>
      </w:r>
      <w:r>
        <w:rPr/>
        <w:t xml:space="preserve">Stud welding (steel studs to steel)</w:t>
      </w:r>
    </w:p>
    <w:bookmarkEnd w:id="334"/>
    <w:bookmarkStart w:name="f-10155-10_01554_005-000_2014" w:id="335"/>
    <w:p>
      <w:pPr>
        <w:pStyle w:val="Standard2"/>
      </w:pPr>
      <w:r>
        <w:rPr/>
        <w:t xml:space="preserve">AS/NZS 1554.5</w:t>
      </w:r>
      <w:r>
        <w:tab/>
      </w:r>
      <w:r>
        <w:rPr/>
        <w:t xml:space="preserve">2014</w:t>
      </w:r>
      <w:r>
        <w:tab/>
      </w:r>
      <w:r>
        <w:rPr/>
        <w:t xml:space="preserve">Welding of steel structures subject to high levels of fatigue loading</w:t>
      </w:r>
    </w:p>
    <w:bookmarkEnd w:id="335"/>
    <w:bookmarkStart w:name="f-10155-=10_01627_000-000" w:id="336"/>
    <w:p>
      <w:pPr>
        <w:pStyle w:val="Standard1"/>
      </w:pPr>
      <w:r>
        <w:rPr/>
        <w:t xml:space="preserve">AS 1627</w:t>
      </w:r>
      <w:r>
        <w:tab/>
      </w:r>
      <w:r>
        <w:tab/>
      </w:r>
      <w:r>
        <w:rPr/>
        <w:t xml:space="preserve">Metal finishing - Preparation and pretreatment of surfaces</w:t>
      </w:r>
    </w:p>
    <w:bookmarkEnd w:id="336"/>
    <w:bookmarkStart w:name="f-10155-10_01627_009-000_2002" w:id="337"/>
    <w:p>
      <w:pPr>
        <w:pStyle w:val="Standard2"/>
      </w:pPr>
      <w:r>
        <w:rPr/>
        <w:t xml:space="preserve">AS 1627.9</w:t>
      </w:r>
      <w:r>
        <w:tab/>
      </w:r>
      <w:r>
        <w:rPr/>
        <w:t xml:space="preserve">2002</w:t>
      </w:r>
      <w:r>
        <w:tab/>
      </w:r>
      <w:r>
        <w:rPr/>
        <w:t xml:space="preserve">Pictorial surface preparation standards for painting steel surfaces</w:t>
      </w:r>
    </w:p>
    <w:bookmarkEnd w:id="337"/>
    <w:bookmarkStart w:name="f-10155-10_02312_000-000" w:id="338"/>
    <w:p>
      <w:pPr>
        <w:pStyle w:val="Standard1"/>
      </w:pPr>
      <w:r>
        <w:rPr/>
        <w:t xml:space="preserve">AS/NZS 2312</w:t>
      </w:r>
      <w:r>
        <w:tab/>
      </w:r>
      <w:r>
        <w:tab/>
      </w:r>
      <w:r>
        <w:rPr/>
        <w:t xml:space="preserve">Guide to the protection of structural steel against atmospheric corrosion by the use of protective coatings</w:t>
      </w:r>
    </w:p>
    <w:bookmarkEnd w:id="338"/>
    <w:bookmarkStart w:name="f-10155-10_02312_001-000_2014" w:id="339"/>
    <w:p>
      <w:pPr>
        <w:pStyle w:val="Standard2"/>
      </w:pPr>
      <w:r>
        <w:rPr/>
        <w:t xml:space="preserve">AS 2312.1</w:t>
      </w:r>
      <w:r>
        <w:tab/>
      </w:r>
      <w:r>
        <w:rPr/>
        <w:t xml:space="preserve">2014</w:t>
      </w:r>
      <w:r>
        <w:tab/>
      </w:r>
      <w:r>
        <w:rPr/>
        <w:t xml:space="preserve">Paint coatings</w:t>
      </w:r>
    </w:p>
    <w:bookmarkEnd w:id="339"/>
    <w:bookmarkStart w:name="f-10155-10_02312_002-000_2014" w:id="340"/>
    <w:p>
      <w:pPr>
        <w:pStyle w:val="Standard2"/>
      </w:pPr>
      <w:r>
        <w:rPr/>
        <w:t xml:space="preserve">AS/NZS 2312.2</w:t>
      </w:r>
      <w:r>
        <w:tab/>
      </w:r>
      <w:r>
        <w:rPr/>
        <w:t xml:space="preserve">2014</w:t>
      </w:r>
      <w:r>
        <w:tab/>
      </w:r>
      <w:r>
        <w:rPr/>
        <w:t xml:space="preserve">Hot dip galvanizing</w:t>
      </w:r>
    </w:p>
    <w:bookmarkEnd w:id="340"/>
    <w:bookmarkStart w:name="f-10155-10_03597_000-000_2008" w:id="341"/>
    <w:p>
      <w:pPr>
        <w:pStyle w:val="Standard1"/>
      </w:pPr>
      <w:r>
        <w:rPr/>
        <w:t xml:space="preserve">AS 3597</w:t>
      </w:r>
      <w:r>
        <w:tab/>
      </w:r>
      <w:r>
        <w:rPr/>
        <w:t xml:space="preserve">2008</w:t>
      </w:r>
      <w:r>
        <w:tab/>
      </w:r>
      <w:r>
        <w:rPr/>
        <w:t xml:space="preserve">Structural and pressure vessel steel - Quenched and tempered plate</w:t>
      </w:r>
    </w:p>
    <w:bookmarkEnd w:id="341"/>
    <w:bookmarkStart w:name="f-10155-10_05100_000-000" w:id="342"/>
    <w:p>
      <w:pPr>
        <w:pStyle w:val="Standard1"/>
      </w:pPr>
      <w:r>
        <w:rPr/>
        <w:t xml:space="preserve">AS 5100</w:t>
      </w:r>
      <w:r>
        <w:tab/>
      </w:r>
      <w:r>
        <w:tab/>
      </w:r>
      <w:r>
        <w:rPr/>
        <w:t xml:space="preserve">Bridge design</w:t>
      </w:r>
    </w:p>
    <w:bookmarkEnd w:id="342"/>
    <w:bookmarkStart w:name="f-10155-10_05100_006-000_2017" w:id="343"/>
    <w:p>
      <w:pPr>
        <w:pStyle w:val="Standard2"/>
      </w:pPr>
      <w:r>
        <w:rPr/>
        <w:t xml:space="preserve">AS/NZS 5100.6</w:t>
      </w:r>
      <w:r>
        <w:tab/>
      </w:r>
      <w:r>
        <w:rPr/>
        <w:t xml:space="preserve">2017</w:t>
      </w:r>
      <w:r>
        <w:tab/>
      </w:r>
      <w:r>
        <w:rPr/>
        <w:t xml:space="preserve">Steel and composite construction</w:t>
      </w:r>
    </w:p>
    <w:bookmarkEnd w:id="343"/>
    <w:bookmarkStart w:name="f-10155-10_08501_000-000" w:id="344"/>
    <w:p>
      <w:pPr>
        <w:pStyle w:val="Standard1"/>
      </w:pPr>
      <w:r>
        <w:rPr/>
        <w:t xml:space="preserve">AS 8501</w:t>
      </w:r>
      <w:r>
        <w:tab/>
      </w:r>
      <w:r>
        <w:tab/>
      </w:r>
      <w:r>
        <w:rPr/>
        <w:t xml:space="preserve">Preparation of steel substrates before application of paints and related products - Visual assessment of surface cleanliness</w:t>
      </w:r>
    </w:p>
    <w:bookmarkEnd w:id="344"/>
    <w:bookmarkStart w:name="f-10155-10_08501_003-000_2022" w:id="345"/>
    <w:p>
      <w:pPr>
        <w:pStyle w:val="Standard2"/>
      </w:pPr>
      <w:r>
        <w:rPr/>
        <w:t xml:space="preserve">AS 8501.3</w:t>
      </w:r>
      <w:r>
        <w:tab/>
      </w:r>
      <w:r>
        <w:rPr/>
        <w:t xml:space="preserve">2022</w:t>
      </w:r>
      <w:r>
        <w:tab/>
      </w:r>
      <w:r>
        <w:rPr/>
        <w:t xml:space="preserve">Treatment grades of welds, edges and other areas with surface imperfections (ISO 8501-3:2006, MOD)</w:t>
      </w:r>
    </w:p>
    <w:bookmarkEnd w:id="345"/>
    <w:bookmarkStart w:name="f-10155-25_ASI_AESS_E_00000_2012" w:id="346"/>
    <w:p>
      <w:pPr>
        <w:pStyle w:val="Standard1"/>
      </w:pPr>
      <w:r>
        <w:rPr/>
        <w:t xml:space="preserve">ASI/SCNZ AESS E</w:t>
      </w:r>
      <w:r>
        <w:tab/>
      </w:r>
      <w:r>
        <w:rPr/>
        <w:t xml:space="preserve">2012</w:t>
      </w:r>
      <w:r>
        <w:tab/>
      </w:r>
      <w:r>
        <w:rPr/>
        <w:t xml:space="preserve">Architecturally exposed structural steelwork (AESS) - Sample specification (for engineers)</w:t>
      </w:r>
    </w:p>
    <w:bookmarkEnd w:id="346"/>
    <w:bookmarkStart w:name="f-10155-25_ASI_AESS_F_00000_2012" w:id="347"/>
    <w:p>
      <w:pPr>
        <w:pStyle w:val="Standard1"/>
      </w:pPr>
      <w:r>
        <w:rPr/>
        <w:t xml:space="preserve">ASI AESS F</w:t>
      </w:r>
      <w:r>
        <w:tab/>
      </w:r>
      <w:r>
        <w:rPr/>
        <w:t xml:space="preserve">2012</w:t>
      </w:r>
      <w:r>
        <w:tab/>
      </w:r>
      <w:r>
        <w:rPr/>
        <w:t xml:space="preserve">Architecturally exposed structural steelwork (AESS) - Code of Practice (for fabricators)</w:t>
      </w:r>
    </w:p>
    <w:bookmarkEnd w:id="347"/>
    <w:bookmarkStart w:name="f-10155-25_ASI_Corrosion_00000_2015" w:id="348"/>
    <w:p>
      <w:pPr>
        <w:pStyle w:val="Standard1"/>
      </w:pPr>
      <w:r>
        <w:rPr/>
        <w:t xml:space="preserve">ASI Corrosion</w:t>
      </w:r>
      <w:r>
        <w:tab/>
      </w:r>
      <w:r>
        <w:rPr/>
        <w:t xml:space="preserve">2015</w:t>
      </w:r>
      <w:r>
        <w:tab/>
      </w:r>
      <w:r>
        <w:rPr/>
        <w:t xml:space="preserve">Australian steelwork corrosion and coatings guide</w:t>
      </w:r>
    </w:p>
    <w:bookmarkEnd w:id="348"/>
    <w:bookmarkStart w:name="f-10155-25_ASI_Journal_00000_2015" w:id="349"/>
    <w:p>
      <w:pPr>
        <w:pStyle w:val="Standard1"/>
      </w:pPr>
      <w:r>
        <w:rPr/>
        <w:t xml:space="preserve">ASI Journal</w:t>
      </w:r>
      <w:r>
        <w:tab/>
      </w:r>
      <w:r>
        <w:rPr/>
        <w:t xml:space="preserve">2015</w:t>
      </w:r>
      <w:r>
        <w:tab/>
      </w:r>
      <w:r>
        <w:rPr/>
        <w:t xml:space="preserve">Steel construction - Volume 47 Number 2: Design and detailing for corrosion protection of steel structures</w:t>
      </w:r>
    </w:p>
    <w:bookmarkEnd w:id="349"/>
    <w:bookmarkStart w:name="f-10155-25_ASI_NSSS_00000_2020" w:id="350"/>
    <w:p>
      <w:pPr>
        <w:pStyle w:val="Standard1"/>
      </w:pPr>
      <w:r>
        <w:rPr/>
        <w:t xml:space="preserve">ASI NSSS</w:t>
      </w:r>
      <w:r>
        <w:tab/>
      </w:r>
      <w:r>
        <w:rPr/>
        <w:t xml:space="preserve">2023</w:t>
      </w:r>
      <w:r>
        <w:tab/>
      </w:r>
      <w:r>
        <w:rPr/>
        <w:t xml:space="preserve">National structural steelwork specification</w:t>
      </w:r>
    </w:p>
    <w:bookmarkEnd w:id="350"/>
    <w:bookmarkStart w:name="f-10155-25_ASI_Practical_guide_00000_2016" w:id="351"/>
    <w:p>
      <w:pPr>
        <w:pStyle w:val="Standard1"/>
      </w:pPr>
      <w:r>
        <w:rPr/>
        <w:t xml:space="preserve">ASI Practical guide</w:t>
      </w:r>
      <w:r>
        <w:tab/>
      </w:r>
      <w:r>
        <w:rPr/>
        <w:t xml:space="preserve">2016</w:t>
      </w:r>
      <w:r>
        <w:tab/>
      </w:r>
      <w:r>
        <w:rPr/>
        <w:t xml:space="preserve">Practical guide to planning the safe erection of steel structures</w:t>
      </w:r>
    </w:p>
    <w:bookmarkEnd w:id="351"/>
    <w:bookmarkStart w:name="f-10155-25_ASI_SDN_00000_2020" w:id="352"/>
    <w:p>
      <w:pPr>
        <w:pStyle w:val="Standard1"/>
      </w:pPr>
      <w:r>
        <w:rPr/>
        <w:t xml:space="preserve">ASI SDN</w:t>
      </w:r>
      <w:r>
        <w:tab/>
      </w:r>
      <w:r>
        <w:rPr/>
        <w:t xml:space="preserve">2020</w:t>
      </w:r>
      <w:r>
        <w:tab/>
      </w:r>
      <w:r>
        <w:rPr/>
        <w:t xml:space="preserve">Standard drawing notes</w:t>
      </w:r>
    </w:p>
    <w:bookmarkEnd w:id="352"/>
    <w:bookmarkStart w:name="f-10155-25_ASI_TN001_00000_2019" w:id="353"/>
    <w:p>
      <w:pPr>
        <w:pStyle w:val="Standard1"/>
      </w:pPr>
      <w:r>
        <w:rPr/>
        <w:t xml:space="preserve">ASI TN001</w:t>
      </w:r>
      <w:r>
        <w:tab/>
      </w:r>
      <w:r>
        <w:rPr/>
        <w:t xml:space="preserve">2019</w:t>
      </w:r>
      <w:r>
        <w:tab/>
      </w:r>
      <w:r>
        <w:rPr/>
        <w:t xml:space="preserve">High strength structural bolt assemblies to AS/NZS 1252:2016</w:t>
      </w:r>
    </w:p>
    <w:bookmarkEnd w:id="353"/>
    <w:bookmarkStart w:name="f-10155-25_ASI_TN005_00000_2020" w:id="354"/>
    <w:p>
      <w:pPr>
        <w:pStyle w:val="Standard1"/>
      </w:pPr>
      <w:r>
        <w:rPr/>
        <w:t xml:space="preserve">ASI TN005</w:t>
      </w:r>
      <w:r>
        <w:tab/>
      </w:r>
      <w:r>
        <w:rPr/>
        <w:t xml:space="preserve">2020</w:t>
      </w:r>
      <w:r>
        <w:tab/>
      </w:r>
      <w:r>
        <w:rPr/>
        <w:t xml:space="preserve">Guidelines for designing to AS 4100 when imported materials are involved</w:t>
      </w:r>
    </w:p>
    <w:bookmarkEnd w:id="354"/>
    <w:bookmarkStart w:name="f-10155-25_ASI_TN007_00000_2020" w:id="355"/>
    <w:p>
      <w:pPr>
        <w:pStyle w:val="Standard1"/>
      </w:pPr>
      <w:r>
        <w:rPr/>
        <w:t xml:space="preserve">ASI TN007</w:t>
      </w:r>
      <w:r>
        <w:tab/>
      </w:r>
      <w:r>
        <w:rPr/>
        <w:t xml:space="preserve">2020</w:t>
      </w:r>
      <w:r>
        <w:tab/>
      </w:r>
      <w:r>
        <w:rPr/>
        <w:t xml:space="preserve">Compliance issues and steel structures</w:t>
      </w:r>
    </w:p>
    <w:bookmarkEnd w:id="355"/>
    <w:bookmarkStart w:name="f-10155-25_ASI_TN008_00000_2012" w:id="356"/>
    <w:p>
      <w:pPr>
        <w:pStyle w:val="Standard1"/>
      </w:pPr>
      <w:r>
        <w:rPr/>
        <w:t xml:space="preserve">ASI TN008</w:t>
      </w:r>
      <w:r>
        <w:tab/>
      </w:r>
      <w:r>
        <w:rPr/>
        <w:t xml:space="preserve">2012</w:t>
      </w:r>
      <w:r>
        <w:tab/>
      </w:r>
      <w:r>
        <w:rPr/>
        <w:t xml:space="preserve">Welding consumables and design of welds in AS 4100-1998 with amendment 1, 2012.</w:t>
      </w:r>
    </w:p>
    <w:bookmarkEnd w:id="356"/>
    <w:bookmarkStart w:name="f-10155-25_ASI_TN009_00000_2020" w:id="357"/>
    <w:p>
      <w:pPr>
        <w:pStyle w:val="Standard1"/>
      </w:pPr>
      <w:r>
        <w:rPr/>
        <w:t xml:space="preserve">ASI TN009</w:t>
      </w:r>
      <w:r>
        <w:tab/>
      </w:r>
      <w:r>
        <w:rPr/>
        <w:t xml:space="preserve">2020</w:t>
      </w:r>
      <w:r>
        <w:tab/>
      </w:r>
      <w:r>
        <w:rPr/>
        <w:t xml:space="preserve">Documentation of structural steel</w:t>
      </w:r>
    </w:p>
    <w:bookmarkEnd w:id="357"/>
    <w:bookmarkStart w:name="f-10155-25_ASI_TN011_00000_2020" w:id="358"/>
    <w:p>
      <w:pPr>
        <w:pStyle w:val="Standard1"/>
      </w:pPr>
      <w:r>
        <w:rPr/>
        <w:t xml:space="preserve">ASI TN011</w:t>
      </w:r>
      <w:r>
        <w:tab/>
      </w:r>
      <w:r>
        <w:rPr/>
        <w:t xml:space="preserve">2020</w:t>
      </w:r>
      <w:r>
        <w:tab/>
      </w:r>
      <w:r>
        <w:rPr/>
        <w:t xml:space="preserve">AS/NZS 5131 - Structural steelwork fabrication and erection - Implementation guide for engineers, specifiers and procurers</w:t>
      </w:r>
    </w:p>
    <w:bookmarkEnd w:id="358"/>
    <w:bookmarkStart w:name="f-10155-25_ASI_TN014_00000_2020" w:id="359"/>
    <w:p>
      <w:pPr>
        <w:pStyle w:val="Standard1"/>
      </w:pPr>
      <w:r>
        <w:rPr/>
        <w:t xml:space="preserve">ASI TN014</w:t>
      </w:r>
      <w:r>
        <w:tab/>
      </w:r>
      <w:r>
        <w:rPr/>
        <w:t xml:space="preserve">2020</w:t>
      </w:r>
      <w:r>
        <w:tab/>
      </w:r>
      <w:r>
        <w:rPr/>
        <w:t xml:space="preserve">Structural steelwork certification in Australia</w:t>
      </w:r>
    </w:p>
    <w:bookmarkEnd w:id="359"/>
    <w:bookmarkStart w:name="f-10155-25_ASI_TN015_00000_2021" w:id="360"/>
    <w:p>
      <w:pPr>
        <w:pStyle w:val="Standard1"/>
      </w:pPr>
      <w:r>
        <w:rPr/>
        <w:t xml:space="preserve">ASI TN015</w:t>
      </w:r>
      <w:r>
        <w:tab/>
      </w:r>
      <w:r>
        <w:rPr/>
        <w:t xml:space="preserve">2021</w:t>
      </w:r>
      <w:r>
        <w:tab/>
      </w:r>
      <w:r>
        <w:rPr/>
        <w:t xml:space="preserve">Ascertaining compliance of structural steel</w:t>
      </w:r>
    </w:p>
    <w:bookmarkEnd w:id="360"/>
    <w:bookmarkStart w:name="f-10155-25_NATSPEC_GEN_006_00000" w:id="361"/>
    <w:p>
      <w:pPr>
        <w:pStyle w:val="Standard1"/>
      </w:pPr>
      <w:r>
        <w:rPr/>
        <w:t xml:space="preserve">NATSPEC GEN 006</w:t>
      </w:r>
      <w:r>
        <w:tab/>
      </w:r>
      <w:r>
        <w:tab/>
      </w:r>
      <w:r>
        <w:rPr/>
        <w:t xml:space="preserve">Product specifying and substitution</w:t>
      </w:r>
    </w:p>
    <w:bookmarkEnd w:id="361"/>
    <w:bookmarkStart w:name="f-10155-25_NATSPEC_GEN_024_00000" w:id="362"/>
    <w:p>
      <w:pPr>
        <w:pStyle w:val="Standard1"/>
      </w:pPr>
      <w:r>
        <w:rPr/>
        <w:t xml:space="preserve">NATSPEC GEN 024</w:t>
      </w:r>
      <w:r>
        <w:tab/>
      </w:r>
      <w:r>
        <w:tab/>
      </w:r>
      <w:r>
        <w:rPr/>
        <w:t xml:space="preserve">Using NATSPEC selections schedules</w:t>
      </w:r>
    </w:p>
    <w:bookmarkEnd w:id="362"/>
    <w:bookmarkStart w:name="f-10155-25_NATSPEC_TR_01_00000" w:id="363"/>
    <w:p>
      <w:pPr>
        <w:pStyle w:val="Standard1"/>
      </w:pPr>
      <w:r>
        <w:rPr/>
        <w:t xml:space="preserve">NATSPEC TR 01</w:t>
      </w:r>
      <w:r>
        <w:tab/>
      </w:r>
      <w:r>
        <w:tab/>
      </w:r>
      <w:r>
        <w:rPr/>
        <w:t xml:space="preserve">Specifying ESD</w:t>
      </w:r>
    </w:p>
    <w:bookmarkEnd w:id="363"/>
    <w:bookmarkStart w:name="f-10155-25_WELDAUST_TN11_00000_2018" w:id="364"/>
    <w:p>
      <w:pPr>
        <w:pStyle w:val="Standard1"/>
      </w:pPr>
      <w:r>
        <w:rPr/>
        <w:t xml:space="preserve">Weld Australia TN11</w:t>
      </w:r>
      <w:r>
        <w:tab/>
      </w:r>
      <w:r>
        <w:rPr/>
        <w:t xml:space="preserve">2018</w:t>
      </w:r>
      <w:r>
        <w:tab/>
      </w:r>
      <w:r>
        <w:rPr/>
        <w:t xml:space="preserve">Commentary on the structural steel welding standard AS/NZS 1554</w:t>
      </w:r>
    </w:p>
    <w:bookmarkEnd w:id="364"/>
    <w:bookmarkStart w:name="f-10155-60_ISO_08501_000000" w:id="365"/>
    <w:p>
      <w:pPr>
        <w:pStyle w:val="Standard1"/>
      </w:pPr>
      <w:r>
        <w:rPr/>
        <w:t xml:space="preserve">ISO 8501</w:t>
      </w:r>
      <w:r>
        <w:tab/>
      </w:r>
      <w:r>
        <w:tab/>
      </w:r>
      <w:r>
        <w:rPr/>
        <w:t xml:space="preserve">Preparation of steel substrates before application of paints and related products - Visual assessment of surface cleanliness</w:t>
      </w:r>
    </w:p>
    <w:bookmarkEnd w:id="365"/>
    <w:bookmarkStart w:name="f-10155-60_ISO_08501_001000_1988" w:id="366"/>
    <w:p>
      <w:pPr>
        <w:pStyle w:val="Standard2"/>
      </w:pPr>
      <w:r>
        <w:rPr/>
        <w:t xml:space="preserve">ISO 8501-1</w:t>
      </w:r>
      <w:r>
        <w:tab/>
      </w:r>
      <w:r>
        <w:rPr/>
        <w:t xml:space="preserve">1988</w:t>
      </w:r>
      <w:r>
        <w:tab/>
      </w:r>
      <w:r>
        <w:rPr/>
        <w:t xml:space="preserve">Rust grades and preparation grades of uncoated steel substrates and of steel substrates after overall removal of previous coatings</w:t>
      </w:r>
    </w:p>
    <w:bookmarkEnd w:id="366"/>
    <w:bookmarkEnd w:id="291"/>
    <w:sectPr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w:rsidR="003F10B8" w:rsidRPr="00420ABA" w:rsidSect="00E57BAC">
      <w:headerReference w:type="even" r:id="rId7"/>
      <w:headerReference w:type="default" r:id="rId8"/>
      <w:footerReference w:type="even" r:id="rId9"/>
      <w:footerReference w:type="default" r:id="rId10"/>
      <w:headerReference w:type="first" r:id="rId11"/>
      <w:footerReference w:type="first" r:id="rId12"/>
      <w:footnotePr>
        <w:numFmt w:val="lowerRoman"/>
      </w:footnotePr>
      <w:endnotePr>
        <w:numFmt w:val="decimal"/>
      </w:endnotePr>
      <w:pgSz w:w="11907" w:h="16840" w:code="9"/>
      <w:pgMar w:top="851" w:right="1418" w:bottom="851" w:left="1418" w:header="720" w:footer="720" w:gutter="0"/>
      <w:cols w:space="720"/>
    </w:sectPr>
    <w:bookmarkEnd w:id="290"/>
  </w:body>
</w:document>
</file>

<file path=word/endnotes.xml><?xml version="1.0" encoding="utf-8"?>
<w:endnotes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endnote w:type="separator" w:id="-1">
    <w:p w14:paraId="1D2386F0" w14:textId="77777777" w:rsidR="00A6597C" w:rsidRDefault="00A6597C">
      <w:r>
        <w:separator/>
      </w:r>
    </w:p>
  </w:endnote>
  <w:endnote w:type="continuationSeparator" w:id="0">
    <w:p w14:paraId="4E998D1D" w14:textId="77777777" w:rsidR="00A6597C" w:rsidRDefault="00A659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p w14:paraId="0E77ECC0" w14:textId="77777777" w:rsidR="006567D2" w:rsidRDefault="006567D2">
    <w:pPr>
      <w:pStyle w:val="Footer"/>
    </w:pPr>
  </w:p>
  <w:p w14:paraId="29C245F0" w14:textId="77777777" w:rsidR="006567D2" w:rsidRDefault="006567D2">
    <w:pPr>
      <w:pStyle w:val="Footer"/>
    </w:pPr>
    <w:r>
      <w:t>Date</w:t>
    </w:r>
    <w:r>
      <w:tab/>
    </w:r>
    <w:r>
      <w:fldChar w:fldCharType="begin"/>
    </w:r>
    <w:r>
      <w:instrText xml:space="preserve"> PAGE </w:instrText>
    </w:r>
    <w:r>
      <w:fldChar w:fldCharType="separate"/>
    </w:r>
    <w:r>
      <w:rPr>
        <w:noProof/>
      </w:rPr>
      <w:t>2</w:t>
    </w:r>
    <w:r>
      <w:fldChar w:fldCharType="end"/>
    </w:r>
    <w:r>
      <w:tab/>
      <w:t>NATSPEC</w:t>
    </w:r>
  </w:p>
</w:ftr>
</file>

<file path=word/footer2.xml><?xml version="1.0" encoding="utf-8"?>
<w:ftr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p w14:paraId="68386707" w14:textId="77777777" w:rsidR="006567D2" w:rsidRDefault="006567D2">
    <w:pPr>
      <w:pStyle w:val="Footer"/>
    </w:pPr>
  </w:p>
  <w:p w14:paraId="56D572F3" w14:textId="77777777" w:rsidR="006567D2" w:rsidRDefault="00DA00B9">
    <w:pPr>
      <w:pStyle w:val="Footer"/>
    </w:pPr>
    <w:r>
      <w:t>© NATSPEC (</w:t>
    </w:r>
    <w:sdt>
      <w:sdtPr>
        <w:alias w:val="Subject"/>
        <w:tag w:val=""/>
        <w:id w:val="1291787495"/>
        <w:placeholder>
          <w:docPart w:val="51F9EEBBD2D0489D9B33E0E90B72CD55"/>
        </w:placeholder>
        <w:dataBinding w:prefixMappings="xmlns:ns0='http://purl.org/dc/elements/1.1/' xmlns:ns1='http://schemas.openxmlformats.org/package/2006/metadata/core-properties' " w:xpath="/ns1:coreProperties[1]/ns0:subject[1]" w:storeItemID="{6C3C8BC8-F283-45AE-878A-BAB7291924A1}"/>
        <w:text/>
      </w:sdtPr>
      <w:sdtContent>
        <w:r w:rsidR="00D7123E">
          <w:t>Word Template</w:t>
        </w:r>
      </w:sdtContent>
    </w:sdt>
    <w:r w:rsidR="006567D2">
      <w:t>)</w:t>
    </w:r>
    <w:r w:rsidR="006567D2">
      <w:tab/>
    </w:r>
    <w:r w:rsidR="006567D2">
      <w:fldChar w:fldCharType="begin"/>
    </w:r>
    <w:r w:rsidR="006567D2">
      <w:instrText xml:space="preserve"> PAGE </w:instrText>
    </w:r>
    <w:r w:rsidR="006567D2">
      <w:fldChar w:fldCharType="separate"/>
    </w:r>
    <w:r w:rsidR="00D7123E">
      <w:rPr>
        <w:noProof/>
      </w:rPr>
      <w:t>14</w:t>
    </w:r>
    <w:r w:rsidR="006567D2">
      <w:fldChar w:fldCharType="end"/>
    </w:r>
    <w:r w:rsidR="006567D2">
      <w:tab/>
    </w:r>
    <w:r w:rsidR="006567D2">
      <w:fldChar w:fldCharType="begin"/>
    </w:r>
    <w:r w:rsidR="006567D2">
      <w:instrText xml:space="preserve"> MACROBUTTON  ac_OnHelp "[Insert date]" </w:instrText>
    </w:r>
    <w:r w:rsidR="006567D2">
      <w:fldChar w:fldCharType="end"/>
    </w:r>
  </w:p>
  <w:p w14:paraId="55A7B456" w14:textId="77777777" w:rsidR="006567D2" w:rsidRDefault="006567D2">
    <w:pPr>
      <w:pStyle w:val="Footer"/>
    </w:pPr>
  </w:p>
</w:ftr>
</file>

<file path=word/footer3.xml><?xml version="1.0" encoding="utf-8"?>
<w:ftr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p w14:paraId="0D406ECA" w14:textId="77777777" w:rsidR="00BB3C2D" w:rsidRDefault="00BB3C2D">
    <w:pPr>
      <w:pStyle w:val="Footer"/>
    </w:pPr>
  </w:p>
</w:ftr>
</file>

<file path=word/footnotes.xml><?xml version="1.0" encoding="utf-8"?>
<w:footnotes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footnote w:type="separator" w:id="-1">
    <w:p w14:paraId="44DB2AEC" w14:textId="77777777" w:rsidR="00A6597C" w:rsidRDefault="00A6597C">
      <w:r>
        <w:separator/>
      </w:r>
    </w:p>
  </w:footnote>
  <w:footnote w:type="continuationSeparator" w:id="0">
    <w:p w14:paraId="58FAC1A8" w14:textId="77777777" w:rsidR="00A6597C" w:rsidRDefault="00A6597C">
      <w:r>
        <w:continuationSeparator/>
      </w:r>
    </w:p>
  </w:footnote>
</w:footnotes>
</file>

<file path=word/header1.xml><?xml version="1.0" encoding="utf-8"?>
<w:hdr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p w14:paraId="398925BE" w14:textId="77777777" w:rsidR="00BB3C2D" w:rsidRDefault="00BB3C2D">
    <w:pPr>
      <w:pStyle w:val="Header"/>
    </w:pPr>
  </w:p>
</w:hdr>
</file>

<file path=word/header2.xml><?xml version="1.0" encoding="utf-8"?>
<w:hdr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p w14:paraId="3723FA1C" w14:textId="0823E399" w:rsidR="006567D2" w:rsidRPr="00BB3C2D" w:rsidRDefault="00000000">
    <w:pPr>
      <w:pStyle w:val="Header"/>
    </w:pPr>
    <w:sdt>
      <w:sdtPr>
        <w:alias w:val="Category"/>
        <w:tag w:val=""/>
        <w:id w:val="1359240299"/>
        <w:placeholder>
          <w:docPart w:val="31BECDE4F6EA497FB26583C3D3546F63"/>
        </w:placeholder>
        <w:dataBinding w:prefixMappings="xmlns:ns0='http://purl.org/dc/elements/1.1/' xmlns:ns1='http://schemas.openxmlformats.org/package/2006/metadata/core-properties' " w:xpath="/ns1:coreProperties[1]/ns1:category[1]" w:storeItemID="{6C3C8BC8-F283-45AE-878A-BAB7291924A1}"/>
        <w:text/>
      </w:sdtPr>
      <w:sdtContent>
        <w:r w:rsidR="00EC2270">
          <w:t>04 Sites</w:t>
        </w:r>
      </w:sdtContent>
    </w:sdt>
    <w:r w:rsidR="006567D2">
      <w:tab/>
    </w:r>
    <w:r w:rsidR="007533D6" w:rsidRPr="00BB3C2D">
      <w:rPr>
        <w:noProof/>
      </w:rPr>
      <w:fldChar w:fldCharType="begin"/>
    </w:r>
    <w:r w:rsidR="007533D6" w:rsidRPr="00BB3C2D">
      <w:rPr>
        <w:noProof/>
      </w:rPr>
      <w:instrText xml:space="preserve"> STYLEREF  "Heading 1"</w:instrText>
    </w:r>
    <w:r w:rsidR="007533D6" w:rsidRPr="00BB3C2D">
      <w:rPr>
        <w:noProof/>
      </w:rPr>
      <w:fldChar w:fldCharType="separate"/>
    </w:r>
    <w:r w:rsidR="00BB3C2D">
      <w:rPr>
        <w:noProof/>
      </w:rPr>
      <w:t>0411 Waterproofing – external and tanking</w:t>
    </w:r>
    <w:r w:rsidR="007533D6" w:rsidRPr="00BB3C2D">
      <w:rPr>
        <w:noProof/>
      </w:rPr>
      <w:fldChar w:fldCharType="end"/>
    </w:r>
  </w:p>
  <w:p w14:paraId="7A3EC4FB" w14:textId="77777777" w:rsidR="006567D2" w:rsidRDefault="006567D2"/>
</w:hdr>
</file>

<file path=word/header3.xml><?xml version="1.0" encoding="utf-8"?>
<w:hdr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p w14:paraId="2205B659" w14:textId="77777777" w:rsidR="00BB3C2D" w:rsidRDefault="00BB3C2D">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abstractNumId="0" w15:restartNumberingAfterBreak="0">
    <w:nsid w:val="FFFFFFFB"/>
    <w:multiLevelType w:val="multilevel"/>
    <w:tmpl w:val="98E03446"/>
    <w:lvl w:ilvl="0">
      <w:start w:val="1"/>
      <w:numFmt w:val="bullet"/>
      <w:pStyle w:val="NormalIndent3"/>
      <w:lvlText w:val="*"/>
      <w:lvlJc w:val="left"/>
      <w:pPr>
        <w:tabs>
          <w:tab w:val="num" w:pos="562"/>
        </w:tabs>
        <w:ind w:left="562" w:hanging="142"/>
      </w:pPr>
      <w:rPr>
        <w:rFonts w:ascii="Times New Roman" w:hAnsi="Times New Roman" w:cs="Times New Roman" w:hint="default"/>
        <w:color w:val="auto"/>
      </w:rPr>
    </w:lvl>
    <w:lvl w:ilvl="1">
      <w:start w:val="1"/>
      <w:numFmt w:val="decimal"/>
      <w:isLgl/>
      <w:suff w:val="nothing"/>
      <w:lvlText w:val="%1%2"/>
      <w:lvlJc w:val="left"/>
      <w:pPr>
        <w:ind w:left="-289" w:firstLine="0"/>
      </w:pPr>
      <w:rPr>
        <w:rFonts w:hint="default"/>
      </w:rPr>
    </w:lvl>
    <w:lvl w:ilvl="2">
      <w:start w:val="1"/>
      <w:numFmt w:val="decimal"/>
      <w:suff w:val="nothing"/>
      <w:lvlText w:val="%2.%3"/>
      <w:lvlJc w:val="left"/>
      <w:pPr>
        <w:ind w:left="-289" w:firstLine="0"/>
      </w:pPr>
      <w:rPr>
        <w:rFonts w:hint="default"/>
      </w:rPr>
    </w:lvl>
    <w:lvl w:ilvl="3">
      <w:start w:val="1"/>
      <w:numFmt w:val="none"/>
      <w:suff w:val="nothing"/>
      <w:lvlText w:val=""/>
      <w:lvlJc w:val="left"/>
      <w:pPr>
        <w:ind w:left="-289" w:firstLine="0"/>
      </w:pPr>
      <w:rPr>
        <w:rFonts w:hint="default"/>
      </w:rPr>
    </w:lvl>
    <w:lvl w:ilvl="4">
      <w:start w:val="1"/>
      <w:numFmt w:val="none"/>
      <w:lvlText w:val=""/>
      <w:lvlJc w:val="left"/>
      <w:pPr>
        <w:tabs>
          <w:tab w:val="num" w:pos="71"/>
        </w:tabs>
        <w:ind w:left="-289" w:firstLine="0"/>
      </w:pPr>
      <w:rPr>
        <w:rFonts w:hint="default"/>
      </w:rPr>
    </w:lvl>
    <w:lvl w:ilvl="5">
      <w:start w:val="1"/>
      <w:numFmt w:val="none"/>
      <w:lvlText w:val=""/>
      <w:lvlJc w:val="left"/>
      <w:pPr>
        <w:tabs>
          <w:tab w:val="num" w:pos="71"/>
        </w:tabs>
        <w:ind w:left="-289" w:firstLine="0"/>
      </w:pPr>
      <w:rPr>
        <w:rFonts w:hint="default"/>
      </w:rPr>
    </w:lvl>
    <w:lvl w:ilvl="6">
      <w:start w:val="1"/>
      <w:numFmt w:val="none"/>
      <w:lvlText w:val=""/>
      <w:lvlJc w:val="left"/>
      <w:pPr>
        <w:tabs>
          <w:tab w:val="num" w:pos="71"/>
        </w:tabs>
        <w:ind w:left="-289" w:firstLine="0"/>
      </w:pPr>
      <w:rPr>
        <w:rFonts w:hint="default"/>
      </w:rPr>
    </w:lvl>
    <w:lvl w:ilvl="7">
      <w:start w:val="1"/>
      <w:numFmt w:val="none"/>
      <w:lvlText w:val=""/>
      <w:lvlJc w:val="left"/>
      <w:pPr>
        <w:tabs>
          <w:tab w:val="num" w:pos="71"/>
        </w:tabs>
        <w:ind w:left="-289" w:firstLine="0"/>
      </w:pPr>
      <w:rPr>
        <w:rFonts w:hint="default"/>
      </w:rPr>
    </w:lvl>
    <w:lvl w:ilvl="8">
      <w:start w:val="1"/>
      <w:numFmt w:val="none"/>
      <w:lvlText w:val=""/>
      <w:lvlJc w:val="left"/>
      <w:pPr>
        <w:tabs>
          <w:tab w:val="num" w:pos="71"/>
        </w:tabs>
        <w:ind w:left="-289" w:firstLine="0"/>
      </w:pPr>
      <w:rPr>
        <w:rFonts w:hint="default"/>
      </w:rPr>
    </w:lvl>
  </w:abstractNum>
  <w:abstractNum w:abstractNumId="1" w15:restartNumberingAfterBreak="0">
    <w:nsid w:val="03463526"/>
    <w:multiLevelType w:val="multilevel"/>
    <w:tmpl w:val="5AFCD3BA"/>
    <w:styleLink w:val="Clause"/>
    <w:lvl w:ilvl="0">
      <w:start w:val="1"/>
      <w:numFmt w:val="decimal"/>
      <w:lvlText w:val="%1."/>
      <w:lvlJc w:val="left"/>
      <w:pPr>
        <w:tabs>
          <w:tab w:val="num" w:pos="680"/>
        </w:tabs>
        <w:ind w:left="680" w:hanging="680"/>
      </w:pPr>
      <w:rPr>
        <w:rFonts w:hint="default"/>
        <w:b w:val="0"/>
        <w:color w:val="auto"/>
      </w:rPr>
    </w:lvl>
    <w:lvl w:ilvl="1">
      <w:start w:val="1"/>
      <w:numFmt w:val="decimal"/>
      <w:lvlText w:val="%1.%2"/>
      <w:lvlJc w:val="left"/>
      <w:pPr>
        <w:tabs>
          <w:tab w:val="num" w:pos="680"/>
        </w:tabs>
        <w:ind w:left="680" w:hanging="680"/>
      </w:pPr>
      <w:rPr>
        <w:rFonts w:hint="default"/>
        <w:b/>
        <w:i w:val="0"/>
        <w:color w:val="auto"/>
      </w:rPr>
    </w:lvl>
    <w:lvl w:ilvl="2">
      <w:start w:val="1"/>
      <w:numFmt w:val="lowerLetter"/>
      <w:lvlText w:val="(%3)"/>
      <w:lvlJc w:val="left"/>
      <w:pPr>
        <w:tabs>
          <w:tab w:val="num" w:pos="1361"/>
        </w:tabs>
        <w:ind w:left="1361" w:hanging="681"/>
      </w:pPr>
      <w:rPr>
        <w:rFonts w:hint="default"/>
        <w:i w:val="0"/>
        <w:color w:val="auto"/>
      </w:rPr>
    </w:lvl>
    <w:lvl w:ilvl="3">
      <w:start w:val="1"/>
      <w:numFmt w:val="lowerRoman"/>
      <w:lvlText w:val="(%4)"/>
      <w:lvlJc w:val="left"/>
      <w:pPr>
        <w:tabs>
          <w:tab w:val="num" w:pos="2081"/>
        </w:tabs>
        <w:ind w:left="2041" w:hanging="680"/>
      </w:pPr>
      <w:rPr>
        <w:rFonts w:hint="default"/>
        <w:i w:val="0"/>
        <w:color w:val="auto"/>
      </w:rPr>
    </w:lvl>
    <w:lvl w:ilvl="4">
      <w:start w:val="1"/>
      <w:numFmt w:val="upperLetter"/>
      <w:lvlText w:val="(%5)"/>
      <w:lvlJc w:val="left"/>
      <w:pPr>
        <w:tabs>
          <w:tab w:val="num" w:pos="2722"/>
        </w:tabs>
        <w:ind w:left="2722" w:hanging="681"/>
      </w:pPr>
      <w:rPr>
        <w:rFonts w:hint="default"/>
      </w:rPr>
    </w:lvl>
    <w:lvl w:ilvl="5">
      <w:start w:val="1"/>
      <w:numFmt w:val="upperRoman"/>
      <w:lvlText w:val="(%6)"/>
      <w:lvlJc w:val="left"/>
      <w:pPr>
        <w:tabs>
          <w:tab w:val="num" w:pos="3442"/>
        </w:tabs>
        <w:ind w:left="3402" w:hanging="680"/>
      </w:pPr>
      <w:rPr>
        <w:rFonts w:hint="default"/>
      </w:rPr>
    </w:lvl>
    <w:lvl w:ilvl="6">
      <w:start w:val="1"/>
      <w:numFmt w:val="none"/>
      <w:lvlText w:val="%7"/>
      <w:lvlJc w:val="left"/>
      <w:pPr>
        <w:tabs>
          <w:tab w:val="num" w:pos="5103"/>
        </w:tabs>
        <w:ind w:left="5103" w:hanging="85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 w15:restartNumberingAfterBreak="0">
    <w:nsid w:val="0C5549D0"/>
    <w:multiLevelType w:val="hybridMultilevel"/>
    <w:tmpl w:val="517C6C36"/>
    <w:lvl w:ilvl="0" w:tplc="61EE871E">
      <w:start w:val="1"/>
      <w:numFmt w:val="bullet"/>
      <w:pStyle w:val="Tableindent"/>
      <w:lvlText w:val="­"/>
      <w:lvlJc w:val="left"/>
      <w:pPr>
        <w:tabs>
          <w:tab w:val="num" w:pos="142"/>
        </w:tabs>
        <w:ind w:left="142" w:hanging="142"/>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BA5D43"/>
    <w:multiLevelType w:val="hybridMultilevel"/>
    <w:tmpl w:val="57804BB6"/>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 w15:restartNumberingAfterBreak="0">
    <w:nsid w:val="17350517"/>
    <w:multiLevelType w:val="multilevel"/>
    <w:tmpl w:val="93C6B2A4"/>
    <w:styleLink w:val="indexlist"/>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7A970A2"/>
    <w:multiLevelType w:val="hybridMultilevel"/>
    <w:tmpl w:val="281AC63E"/>
    <w:lvl w:ilvl="0" w:tplc="6B1A35E6">
      <w:start w:val="1"/>
      <w:numFmt w:val="bullet"/>
      <w:pStyle w:val="OptionalNormalIndent"/>
      <w:lvlText w:val="-"/>
      <w:lvlJc w:val="left"/>
      <w:pPr>
        <w:tabs>
          <w:tab w:val="num" w:pos="0"/>
        </w:tabs>
        <w:ind w:left="210" w:hanging="210"/>
      </w:pPr>
      <w:rPr>
        <w:rFonts w:ascii="Calibr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BA24F32"/>
    <w:multiLevelType w:val="hybridMultilevel"/>
    <w:tmpl w:val="F40AAF7C"/>
    <w:lvl w:ilvl="0" w:tplc="B4BE4DE0">
      <w:start w:val="1"/>
      <w:numFmt w:val="bullet"/>
      <w:pStyle w:val="Externalinden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297B1AB2"/>
    <w:multiLevelType w:val="hybridMultilevel"/>
    <w:tmpl w:val="6356485E"/>
    <w:lvl w:ilvl="0" w:tplc="A77CCF90">
      <w:start w:val="1"/>
      <w:numFmt w:val="bullet"/>
      <w:pStyle w:val="Promptindent"/>
      <w:lvlText w:val="­"/>
      <w:lvlJc w:val="left"/>
      <w:pPr>
        <w:tabs>
          <w:tab w:val="num" w:pos="210"/>
        </w:tabs>
        <w:ind w:left="210" w:hanging="21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9B366D3"/>
    <w:multiLevelType w:val="multilevel"/>
    <w:tmpl w:val="D5CA255C"/>
    <w:styleLink w:val="unumberedlist"/>
    <w:lvl w:ilvl="0">
      <w:start w:val="1"/>
      <w:numFmt w:val="bullet"/>
      <w:lvlText w:val=""/>
      <w:lvlJc w:val="left"/>
      <w:pPr>
        <w:ind w:left="2160" w:hanging="360"/>
      </w:pPr>
      <w:rPr>
        <w:rFonts w:ascii="Symbol" w:hAnsi="Symbol" w:hint="default"/>
      </w:rPr>
    </w:lvl>
    <w:lvl w:ilvl="1">
      <w:start w:val="1"/>
      <w:numFmt w:val="bullet"/>
      <w:lvlText w:val="o"/>
      <w:lvlJc w:val="left"/>
      <w:pPr>
        <w:ind w:left="2592" w:hanging="432"/>
      </w:pPr>
      <w:rPr>
        <w:rFonts w:ascii="Courier New" w:hAnsi="Courier New" w:hint="default"/>
      </w:rPr>
    </w:lvl>
    <w:lvl w:ilvl="2">
      <w:start w:val="1"/>
      <w:numFmt w:val="bullet"/>
      <w:lvlText w:val=""/>
      <w:lvlJc w:val="left"/>
      <w:pPr>
        <w:ind w:left="3024" w:hanging="504"/>
      </w:pPr>
      <w:rPr>
        <w:rFonts w:ascii="Symbol" w:hAnsi="Symbol" w:hint="default"/>
        <w:color w:val="auto"/>
      </w:rPr>
    </w:lvl>
    <w:lvl w:ilvl="3">
      <w:start w:val="1"/>
      <w:numFmt w:val="bullet"/>
      <w:lvlText w:val=""/>
      <w:lvlJc w:val="left"/>
      <w:pPr>
        <w:ind w:left="3528" w:hanging="648"/>
      </w:pPr>
      <w:rPr>
        <w:rFonts w:ascii="Symbol" w:hAnsi="Symbol" w:hint="default"/>
        <w:color w:val="auto"/>
      </w:rPr>
    </w:lvl>
    <w:lvl w:ilvl="4">
      <w:start w:val="1"/>
      <w:numFmt w:val="bullet"/>
      <w:lvlText w:val=""/>
      <w:lvlJc w:val="left"/>
      <w:pPr>
        <w:ind w:left="4032" w:hanging="792"/>
      </w:pPr>
      <w:rPr>
        <w:rFonts w:ascii="Symbol" w:hAnsi="Symbol" w:hint="default"/>
        <w:color w:val="auto"/>
      </w:rPr>
    </w:lvl>
    <w:lvl w:ilvl="5">
      <w:start w:val="1"/>
      <w:numFmt w:val="bullet"/>
      <w:lvlText w:val="o"/>
      <w:lvlJc w:val="left"/>
      <w:pPr>
        <w:ind w:left="4536" w:hanging="936"/>
      </w:pPr>
      <w:rPr>
        <w:rFonts w:ascii="Courier New" w:hAnsi="Courier New" w:hint="default"/>
      </w:rPr>
    </w:lvl>
    <w:lvl w:ilvl="6">
      <w:start w:val="1"/>
      <w:numFmt w:val="decimal"/>
      <w:lvlText w:val="%1.%2.%3.%4.%5.%6.%7."/>
      <w:lvlJc w:val="left"/>
      <w:pPr>
        <w:ind w:left="5040" w:hanging="1080"/>
      </w:pPr>
      <w:rPr>
        <w:rFonts w:hint="default"/>
      </w:rPr>
    </w:lvl>
    <w:lvl w:ilvl="7">
      <w:start w:val="1"/>
      <w:numFmt w:val="decimal"/>
      <w:lvlText w:val="%1.%2.%3.%4.%5.%6.%7.%8."/>
      <w:lvlJc w:val="left"/>
      <w:pPr>
        <w:ind w:left="5544" w:hanging="1224"/>
      </w:pPr>
      <w:rPr>
        <w:rFonts w:hint="default"/>
      </w:rPr>
    </w:lvl>
    <w:lvl w:ilvl="8">
      <w:start w:val="1"/>
      <w:numFmt w:val="decimal"/>
      <w:lvlText w:val="%1.%2.%3.%4.%5.%6.%7.%8.%9."/>
      <w:lvlJc w:val="left"/>
      <w:pPr>
        <w:ind w:left="6120" w:hanging="1440"/>
      </w:pPr>
      <w:rPr>
        <w:rFonts w:hint="default"/>
      </w:rPr>
    </w:lvl>
  </w:abstractNum>
  <w:abstractNum w:abstractNumId="9" w15:restartNumberingAfterBreak="0">
    <w:nsid w:val="2CBC5F09"/>
    <w:multiLevelType w:val="multilevel"/>
    <w:tmpl w:val="66C4FE1C"/>
    <w:styleLink w:val="Warranty"/>
    <w:lvl w:ilvl="0">
      <w:start w:val="1"/>
      <w:numFmt w:val="decimal"/>
      <w:suff w:val="nothing"/>
      <w:lvlText w:val="Warranty %1"/>
      <w:lvlJc w:val="left"/>
      <w:pPr>
        <w:ind w:left="0" w:firstLine="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680"/>
        </w:tabs>
        <w:ind w:left="680" w:hanging="680"/>
      </w:pPr>
      <w:rPr>
        <w:rFonts w:hint="default"/>
        <w:i w:val="0"/>
        <w:color w:val="auto"/>
      </w:rPr>
    </w:lvl>
    <w:lvl w:ilvl="2">
      <w:start w:val="1"/>
      <w:numFmt w:val="lowerLetter"/>
      <w:lvlText w:val="(%3)"/>
      <w:lvlJc w:val="left"/>
      <w:pPr>
        <w:tabs>
          <w:tab w:val="num" w:pos="1361"/>
        </w:tabs>
        <w:ind w:left="1361" w:hanging="681"/>
      </w:pPr>
      <w:rPr>
        <w:rFonts w:hint="default"/>
        <w:color w:val="auto"/>
      </w:rPr>
    </w:lvl>
    <w:lvl w:ilvl="3">
      <w:start w:val="1"/>
      <w:numFmt w:val="lowerRoman"/>
      <w:lvlText w:val="(%4)"/>
      <w:lvlJc w:val="left"/>
      <w:pPr>
        <w:tabs>
          <w:tab w:val="num" w:pos="2081"/>
        </w:tabs>
        <w:ind w:left="2041" w:hanging="680"/>
      </w:pPr>
      <w:rPr>
        <w:rFonts w:hint="default"/>
        <w:color w:val="auto"/>
      </w:rPr>
    </w:lvl>
    <w:lvl w:ilvl="4">
      <w:start w:val="1"/>
      <w:numFmt w:val="upperLetter"/>
      <w:lvlText w:val="(%5)"/>
      <w:lvlJc w:val="left"/>
      <w:pPr>
        <w:tabs>
          <w:tab w:val="num" w:pos="2722"/>
        </w:tabs>
        <w:ind w:left="2722" w:hanging="681"/>
      </w:pPr>
      <w:rPr>
        <w:rFonts w:hint="default"/>
      </w:rPr>
    </w:lvl>
    <w:lvl w:ilvl="5">
      <w:start w:val="1"/>
      <w:numFmt w:val="none"/>
      <w:lvlText w:val=""/>
      <w:lvlJc w:val="left"/>
      <w:pPr>
        <w:tabs>
          <w:tab w:val="num" w:pos="2736"/>
        </w:tabs>
        <w:ind w:left="2736" w:hanging="936"/>
      </w:pPr>
      <w:rPr>
        <w:rFonts w:hint="default"/>
      </w:rPr>
    </w:lvl>
    <w:lvl w:ilvl="6">
      <w:start w:val="1"/>
      <w:numFmt w:val="none"/>
      <w:lvlText w:val=""/>
      <w:lvlJc w:val="left"/>
      <w:pPr>
        <w:tabs>
          <w:tab w:val="num" w:pos="3240"/>
        </w:tabs>
        <w:ind w:left="3240" w:hanging="1080"/>
      </w:pPr>
      <w:rPr>
        <w:rFonts w:hint="default"/>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0" w15:restartNumberingAfterBreak="0">
    <w:nsid w:val="2CDB0B85"/>
    <w:multiLevelType w:val="multilevel"/>
    <w:tmpl w:val="6EB8079C"/>
    <w:lvl w:ilvl="0">
      <w:start w:val="1"/>
      <w:numFmt w:val="none"/>
      <w:pStyle w:val="Heading1"/>
      <w:suff w:val="nothing"/>
      <w:lvlText w:val=""/>
      <w:lvlJc w:val="left"/>
      <w:pPr>
        <w:ind w:left="0" w:firstLine="0"/>
      </w:pPr>
      <w:rPr>
        <w:rFonts w:hint="default"/>
      </w:rPr>
    </w:lvl>
    <w:lvl w:ilvl="1">
      <w:start w:val="1"/>
      <w:numFmt w:val="decimal"/>
      <w:pStyle w:val="Heading2"/>
      <w:lvlText w:val="%2"/>
      <w:lvlJc w:val="left"/>
      <w:pPr>
        <w:tabs>
          <w:tab w:val="num" w:pos="567"/>
        </w:tabs>
        <w:ind w:left="567" w:hanging="567"/>
      </w:pPr>
      <w:rPr>
        <w:rFonts w:hint="default"/>
      </w:rPr>
    </w:lvl>
    <w:lvl w:ilvl="2">
      <w:start w:val="1"/>
      <w:numFmt w:val="decimal"/>
      <w:pStyle w:val="Heading3"/>
      <w:lvlText w:val="%2.%3"/>
      <w:lvlJc w:val="left"/>
      <w:pPr>
        <w:tabs>
          <w:tab w:val="num" w:pos="567"/>
        </w:tabs>
        <w:ind w:left="567" w:hanging="567"/>
      </w:pPr>
      <w:rPr>
        <w:rFonts w:hint="default"/>
      </w:rPr>
    </w:lvl>
    <w:lvl w:ilvl="3">
      <w:start w:val="1"/>
      <w:numFmt w:val="decimal"/>
      <w:lvlText w:val="%2.%3.%4"/>
      <w:lvlJc w:val="left"/>
      <w:pPr>
        <w:tabs>
          <w:tab w:val="num" w:pos="0"/>
        </w:tabs>
        <w:ind w:left="0" w:firstLine="0"/>
      </w:pPr>
      <w:rPr>
        <w:rFonts w:hint="default"/>
      </w:rPr>
    </w:lvl>
    <w:lvl w:ilvl="4">
      <w:start w:val="1"/>
      <w:numFmt w:val="decimal"/>
      <w:pStyle w:val="Heading5"/>
      <w:lvlText w:val=".%5"/>
      <w:lvlJc w:val="left"/>
      <w:pPr>
        <w:tabs>
          <w:tab w:val="num" w:pos="0"/>
        </w:tabs>
        <w:ind w:left="0" w:firstLine="0"/>
      </w:pPr>
      <w:rPr>
        <w:rFonts w:hint="default"/>
      </w:rPr>
    </w:lvl>
    <w:lvl w:ilvl="5">
      <w:start w:val="1"/>
      <w:numFmt w:val="decimal"/>
      <w:pStyle w:val="Heading6"/>
      <w:lvlText w:val=".%5.%6"/>
      <w:lvlJc w:val="left"/>
      <w:pPr>
        <w:tabs>
          <w:tab w:val="num" w:pos="0"/>
        </w:tabs>
        <w:ind w:left="0" w:firstLine="0"/>
      </w:pPr>
      <w:rPr>
        <w:rFonts w:hint="default"/>
      </w:rPr>
    </w:lvl>
    <w:lvl w:ilvl="6">
      <w:start w:val="1"/>
      <w:numFmt w:val="decimal"/>
      <w:pStyle w:val="Heading7"/>
      <w:lvlText w:val=".%5.%6.%7"/>
      <w:lvlJc w:val="left"/>
      <w:pPr>
        <w:tabs>
          <w:tab w:val="num" w:pos="0"/>
        </w:tabs>
        <w:ind w:left="0" w:firstLine="0"/>
      </w:pPr>
      <w:rPr>
        <w:rFonts w:hint="default"/>
      </w:rPr>
    </w:lvl>
    <w:lvl w:ilvl="7">
      <w:start w:val="1"/>
      <w:numFmt w:val="decimal"/>
      <w:pStyle w:val="Heading8"/>
      <w:lvlText w:val=".%5.%6.%7.%8"/>
      <w:lvlJc w:val="left"/>
      <w:pPr>
        <w:tabs>
          <w:tab w:val="num" w:pos="0"/>
        </w:tabs>
        <w:ind w:left="0" w:firstLine="0"/>
      </w:pPr>
      <w:rPr>
        <w:rFonts w:hint="default"/>
      </w:rPr>
    </w:lvl>
    <w:lvl w:ilvl="8">
      <w:start w:val="1"/>
      <w:numFmt w:val="decimal"/>
      <w:pStyle w:val="Heading9"/>
      <w:lvlText w:val=".%5.%6.%7.%8.%9"/>
      <w:lvlJc w:val="left"/>
      <w:pPr>
        <w:tabs>
          <w:tab w:val="num" w:pos="0"/>
        </w:tabs>
        <w:ind w:left="0" w:firstLine="0"/>
      </w:pPr>
      <w:rPr>
        <w:rFonts w:hint="default"/>
      </w:rPr>
    </w:lvl>
  </w:abstractNum>
  <w:abstractNum w:abstractNumId="11" w15:restartNumberingAfterBreak="0">
    <w:nsid w:val="2D932861"/>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2E0C3364"/>
    <w:multiLevelType w:val="hybridMultilevel"/>
    <w:tmpl w:val="E8A80A50"/>
    <w:lvl w:ilvl="0" w:tplc="78A02EB0">
      <w:start w:val="1"/>
      <w:numFmt w:val="bullet"/>
      <w:pStyle w:val="Tableindent2"/>
      <w:lvlText w:val="."/>
      <w:lvlJc w:val="left"/>
      <w:pPr>
        <w:tabs>
          <w:tab w:val="num" w:pos="0"/>
        </w:tabs>
        <w:ind w:left="0" w:firstLine="142"/>
      </w:pPr>
      <w:rPr>
        <w:rFonts w:ascii="Times New Roman" w:hAnsi="Times New Roman" w:cs="Times New Roman" w:hint="default"/>
      </w:rPr>
    </w:lvl>
    <w:lvl w:ilvl="1" w:tplc="04090003" w:tentative="1">
      <w:start w:val="1"/>
      <w:numFmt w:val="bullet"/>
      <w:lvlText w:val="o"/>
      <w:lvlJc w:val="left"/>
      <w:pPr>
        <w:tabs>
          <w:tab w:val="num" w:pos="1582"/>
        </w:tabs>
        <w:ind w:left="1582" w:hanging="360"/>
      </w:pPr>
      <w:rPr>
        <w:rFonts w:ascii="Courier New" w:hAnsi="Courier New" w:cs="Courier New" w:hint="default"/>
      </w:rPr>
    </w:lvl>
    <w:lvl w:ilvl="2" w:tplc="04090005" w:tentative="1">
      <w:start w:val="1"/>
      <w:numFmt w:val="bullet"/>
      <w:lvlText w:val=""/>
      <w:lvlJc w:val="left"/>
      <w:pPr>
        <w:tabs>
          <w:tab w:val="num" w:pos="2302"/>
        </w:tabs>
        <w:ind w:left="2302" w:hanging="360"/>
      </w:pPr>
      <w:rPr>
        <w:rFonts w:ascii="Wingdings" w:hAnsi="Wingdings" w:hint="default"/>
      </w:rPr>
    </w:lvl>
    <w:lvl w:ilvl="3" w:tplc="04090001" w:tentative="1">
      <w:start w:val="1"/>
      <w:numFmt w:val="bullet"/>
      <w:lvlText w:val=""/>
      <w:lvlJc w:val="left"/>
      <w:pPr>
        <w:tabs>
          <w:tab w:val="num" w:pos="3022"/>
        </w:tabs>
        <w:ind w:left="3022" w:hanging="360"/>
      </w:pPr>
      <w:rPr>
        <w:rFonts w:ascii="Symbol" w:hAnsi="Symbol" w:hint="default"/>
      </w:rPr>
    </w:lvl>
    <w:lvl w:ilvl="4" w:tplc="04090003" w:tentative="1">
      <w:start w:val="1"/>
      <w:numFmt w:val="bullet"/>
      <w:lvlText w:val="o"/>
      <w:lvlJc w:val="left"/>
      <w:pPr>
        <w:tabs>
          <w:tab w:val="num" w:pos="3742"/>
        </w:tabs>
        <w:ind w:left="3742" w:hanging="360"/>
      </w:pPr>
      <w:rPr>
        <w:rFonts w:ascii="Courier New" w:hAnsi="Courier New" w:cs="Courier New" w:hint="default"/>
      </w:rPr>
    </w:lvl>
    <w:lvl w:ilvl="5" w:tplc="04090005" w:tentative="1">
      <w:start w:val="1"/>
      <w:numFmt w:val="bullet"/>
      <w:lvlText w:val=""/>
      <w:lvlJc w:val="left"/>
      <w:pPr>
        <w:tabs>
          <w:tab w:val="num" w:pos="4462"/>
        </w:tabs>
        <w:ind w:left="4462" w:hanging="360"/>
      </w:pPr>
      <w:rPr>
        <w:rFonts w:ascii="Wingdings" w:hAnsi="Wingdings" w:hint="default"/>
      </w:rPr>
    </w:lvl>
    <w:lvl w:ilvl="6" w:tplc="04090001" w:tentative="1">
      <w:start w:val="1"/>
      <w:numFmt w:val="bullet"/>
      <w:lvlText w:val=""/>
      <w:lvlJc w:val="left"/>
      <w:pPr>
        <w:tabs>
          <w:tab w:val="num" w:pos="5182"/>
        </w:tabs>
        <w:ind w:left="5182" w:hanging="360"/>
      </w:pPr>
      <w:rPr>
        <w:rFonts w:ascii="Symbol" w:hAnsi="Symbol" w:hint="default"/>
      </w:rPr>
    </w:lvl>
    <w:lvl w:ilvl="7" w:tplc="04090003" w:tentative="1">
      <w:start w:val="1"/>
      <w:numFmt w:val="bullet"/>
      <w:lvlText w:val="o"/>
      <w:lvlJc w:val="left"/>
      <w:pPr>
        <w:tabs>
          <w:tab w:val="num" w:pos="5902"/>
        </w:tabs>
        <w:ind w:left="5902" w:hanging="360"/>
      </w:pPr>
      <w:rPr>
        <w:rFonts w:ascii="Courier New" w:hAnsi="Courier New" w:cs="Courier New" w:hint="default"/>
      </w:rPr>
    </w:lvl>
    <w:lvl w:ilvl="8" w:tplc="04090005" w:tentative="1">
      <w:start w:val="1"/>
      <w:numFmt w:val="bullet"/>
      <w:lvlText w:val=""/>
      <w:lvlJc w:val="left"/>
      <w:pPr>
        <w:tabs>
          <w:tab w:val="num" w:pos="6622"/>
        </w:tabs>
        <w:ind w:left="6622" w:hanging="360"/>
      </w:pPr>
      <w:rPr>
        <w:rFonts w:ascii="Wingdings" w:hAnsi="Wingdings" w:hint="default"/>
      </w:rPr>
    </w:lvl>
  </w:abstractNum>
  <w:abstractNum w:abstractNumId="13" w15:restartNumberingAfterBreak="0">
    <w:nsid w:val="382349AF"/>
    <w:multiLevelType w:val="hybridMultilevel"/>
    <w:tmpl w:val="BB4E3C96"/>
    <w:lvl w:ilvl="0" w:tplc="11EA9DCE">
      <w:numFmt w:val="bullet"/>
      <w:pStyle w:val="NormalIndent"/>
      <w:lvlText w:val="-"/>
      <w:lvlJc w:val="left"/>
      <w:pPr>
        <w:tabs>
          <w:tab w:val="num" w:pos="0"/>
        </w:tabs>
        <w:ind w:left="210" w:hanging="21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5D403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461E201C"/>
    <w:multiLevelType w:val="multilevel"/>
    <w:tmpl w:val="4FC21C2E"/>
    <w:lvl w:ilvl="0">
      <w:start w:val="1"/>
      <w:numFmt w:val="none"/>
      <w:pStyle w:val="DefinitionL1"/>
      <w:suff w:val="nothing"/>
      <w:lvlText w:val=""/>
      <w:lvlJc w:val="left"/>
      <w:pPr>
        <w:ind w:left="680" w:firstLine="0"/>
      </w:pPr>
      <w:rPr>
        <w:rFonts w:hint="default"/>
      </w:rPr>
    </w:lvl>
    <w:lvl w:ilvl="1">
      <w:start w:val="1"/>
      <w:numFmt w:val="lowerLetter"/>
      <w:pStyle w:val="DefinitionL2"/>
      <w:lvlText w:val="(%2)"/>
      <w:lvlJc w:val="left"/>
      <w:pPr>
        <w:tabs>
          <w:tab w:val="num" w:pos="1361"/>
        </w:tabs>
        <w:ind w:left="1361" w:hanging="681"/>
      </w:pPr>
      <w:rPr>
        <w:rFonts w:hint="default"/>
      </w:rPr>
    </w:lvl>
    <w:lvl w:ilvl="2">
      <w:start w:val="1"/>
      <w:numFmt w:val="lowerRoman"/>
      <w:pStyle w:val="DefinitionL3"/>
      <w:lvlText w:val="(%3)"/>
      <w:lvlJc w:val="left"/>
      <w:pPr>
        <w:tabs>
          <w:tab w:val="num" w:pos="2081"/>
        </w:tabs>
        <w:ind w:left="2041" w:hanging="680"/>
      </w:pPr>
      <w:rPr>
        <w:rFonts w:hint="default"/>
      </w:rPr>
    </w:lvl>
    <w:lvl w:ilvl="3">
      <w:start w:val="1"/>
      <w:numFmt w:val="upperLetter"/>
      <w:pStyle w:val="DefinitionL4"/>
      <w:lvlText w:val="(%4)"/>
      <w:lvlJc w:val="left"/>
      <w:pPr>
        <w:tabs>
          <w:tab w:val="num" w:pos="2801"/>
        </w:tabs>
        <w:ind w:left="2801" w:hanging="680"/>
      </w:pPr>
      <w:rPr>
        <w:rFonts w:hint="default"/>
      </w:rPr>
    </w:lvl>
    <w:lvl w:ilvl="4">
      <w:start w:val="1"/>
      <w:numFmt w:val="none"/>
      <w:lvlText w:val=""/>
      <w:lvlJc w:val="left"/>
      <w:pPr>
        <w:tabs>
          <w:tab w:val="num" w:pos="360"/>
        </w:tabs>
        <w:ind w:left="0" w:firstLine="0"/>
      </w:pPr>
      <w:rPr>
        <w:rFonts w:hint="default"/>
      </w:rPr>
    </w:lvl>
    <w:lvl w:ilvl="5">
      <w:start w:val="1"/>
      <w:numFmt w:val="none"/>
      <w:lvlText w:val=""/>
      <w:lvlJc w:val="left"/>
      <w:pPr>
        <w:tabs>
          <w:tab w:val="num" w:pos="360"/>
        </w:tabs>
        <w:ind w:left="0" w:firstLine="0"/>
      </w:pPr>
      <w:rPr>
        <w:rFonts w:hint="default"/>
      </w:rPr>
    </w:lvl>
    <w:lvl w:ilvl="6">
      <w:start w:val="1"/>
      <w:numFmt w:val="none"/>
      <w:lvlText w:val=""/>
      <w:lvlJc w:val="left"/>
      <w:pPr>
        <w:tabs>
          <w:tab w:val="num" w:pos="360"/>
        </w:tabs>
        <w:ind w:left="0" w:firstLine="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16" w15:restartNumberingAfterBreak="0">
    <w:nsid w:val="49C676F8"/>
    <w:multiLevelType w:val="singleLevel"/>
    <w:tmpl w:val="544C4E28"/>
    <w:lvl w:ilvl="0">
      <w:start w:val="1"/>
      <w:numFmt w:val="bullet"/>
      <w:pStyle w:val="Instructionsindent"/>
      <w:lvlText w:val=""/>
      <w:lvlJc w:val="left"/>
      <w:pPr>
        <w:tabs>
          <w:tab w:val="num" w:pos="420"/>
        </w:tabs>
        <w:ind w:left="420" w:hanging="360"/>
      </w:pPr>
      <w:rPr>
        <w:rFonts w:ascii="Symbol" w:hAnsi="Symbol" w:hint="default"/>
      </w:rPr>
    </w:lvl>
  </w:abstractNum>
  <w:abstractNum w:abstractNumId="17" w15:restartNumberingAfterBreak="0">
    <w:nsid w:val="4AC478DB"/>
    <w:multiLevelType w:val="multilevel"/>
    <w:tmpl w:val="B99E73C4"/>
    <w:styleLink w:val="headinglist"/>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4DCE2456"/>
    <w:multiLevelType w:val="multilevel"/>
    <w:tmpl w:val="EE025064"/>
    <w:styleLink w:val="Schedule"/>
    <w:lvl w:ilvl="0">
      <w:start w:val="1"/>
      <w:numFmt w:val="decimal"/>
      <w:suff w:val="nothing"/>
      <w:lvlText w:val="Schedule %1"/>
      <w:lvlJc w:val="left"/>
      <w:pPr>
        <w:ind w:left="0" w:firstLine="0"/>
      </w:pPr>
      <w:rPr>
        <w:rFonts w:ascii="Arial" w:hAnsi="Arial" w:hint="default"/>
        <w:b w:val="0"/>
        <w:i w:val="0"/>
        <w:color w:val="auto"/>
      </w:rPr>
    </w:lvl>
    <w:lvl w:ilvl="1">
      <w:start w:val="1"/>
      <w:numFmt w:val="decimal"/>
      <w:pStyle w:val="ScheduleL2"/>
      <w:lvlText w:val="%2."/>
      <w:lvlJc w:val="left"/>
      <w:pPr>
        <w:tabs>
          <w:tab w:val="num" w:pos="680"/>
        </w:tabs>
        <w:ind w:left="680" w:hanging="680"/>
      </w:pPr>
      <w:rPr>
        <w:rFonts w:hint="default"/>
        <w:color w:val="auto"/>
      </w:rPr>
    </w:lvl>
    <w:lvl w:ilvl="2">
      <w:start w:val="1"/>
      <w:numFmt w:val="decimal"/>
      <w:lvlText w:val="%2.%3"/>
      <w:lvlJc w:val="left"/>
      <w:pPr>
        <w:tabs>
          <w:tab w:val="num" w:pos="680"/>
        </w:tabs>
        <w:ind w:left="680" w:hanging="680"/>
      </w:pPr>
      <w:rPr>
        <w:rFonts w:hint="default"/>
        <w:color w:val="auto"/>
      </w:rPr>
    </w:lvl>
    <w:lvl w:ilvl="3">
      <w:start w:val="1"/>
      <w:numFmt w:val="lowerLetter"/>
      <w:lvlText w:val="(%4)"/>
      <w:lvlJc w:val="left"/>
      <w:pPr>
        <w:tabs>
          <w:tab w:val="num" w:pos="1361"/>
        </w:tabs>
        <w:ind w:left="1361" w:hanging="681"/>
      </w:pPr>
      <w:rPr>
        <w:rFonts w:hint="default"/>
        <w:color w:val="auto"/>
      </w:rPr>
    </w:lvl>
    <w:lvl w:ilvl="4">
      <w:start w:val="1"/>
      <w:numFmt w:val="lowerRoman"/>
      <w:lvlText w:val="(%5)"/>
      <w:lvlJc w:val="left"/>
      <w:pPr>
        <w:tabs>
          <w:tab w:val="num" w:pos="2081"/>
        </w:tabs>
        <w:ind w:left="2041" w:hanging="680"/>
      </w:pPr>
      <w:rPr>
        <w:rFonts w:hint="default"/>
        <w:color w:val="auto"/>
      </w:rPr>
    </w:lvl>
    <w:lvl w:ilvl="5">
      <w:start w:val="1"/>
      <w:numFmt w:val="upperLetter"/>
      <w:lvlText w:val="(%6)"/>
      <w:lvlJc w:val="left"/>
      <w:pPr>
        <w:tabs>
          <w:tab w:val="num" w:pos="2722"/>
        </w:tabs>
        <w:ind w:left="2722" w:hanging="681"/>
      </w:pPr>
      <w:rPr>
        <w:rFonts w:hint="default"/>
      </w:rPr>
    </w:lvl>
    <w:lvl w:ilvl="6">
      <w:start w:val="1"/>
      <w:numFmt w:val="none"/>
      <w:suff w:val="nothing"/>
      <w:lvlText w:val=""/>
      <w:lvlJc w:val="left"/>
      <w:pPr>
        <w:ind w:left="0" w:firstLine="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9" w15:restartNumberingAfterBreak="0">
    <w:nsid w:val="4FD96DE1"/>
    <w:multiLevelType w:val="singleLevel"/>
    <w:tmpl w:val="3626B9FA"/>
    <w:lvl w:ilvl="0">
      <w:numFmt w:val="bullet"/>
      <w:pStyle w:val="NormalIndent2"/>
      <w:lvlText w:val="."/>
      <w:lvlJc w:val="left"/>
      <w:pPr>
        <w:tabs>
          <w:tab w:val="num" w:pos="210"/>
        </w:tabs>
        <w:ind w:left="420" w:hanging="210"/>
      </w:pPr>
      <w:rPr>
        <w:rFonts w:ascii="Times New Roman" w:hAnsi="Times New Roman" w:cs="Times New Roman" w:hint="default"/>
      </w:rPr>
    </w:lvl>
  </w:abstractNum>
  <w:abstractNum w:abstractNumId="20" w15:restartNumberingAfterBreak="0">
    <w:nsid w:val="5F9C2265"/>
    <w:multiLevelType w:val="hybridMultilevel"/>
    <w:tmpl w:val="7A661A20"/>
    <w:lvl w:ilvl="0" w:tplc="E3CE06F6">
      <w:start w:val="1"/>
      <w:numFmt w:val="bullet"/>
      <w:pStyle w:val="Promptindent2"/>
      <w:lvlText w:val="."/>
      <w:lvlJc w:val="left"/>
      <w:pPr>
        <w:tabs>
          <w:tab w:val="num" w:pos="210"/>
        </w:tabs>
        <w:ind w:left="210" w:firstLine="0"/>
      </w:pPr>
      <w:rPr>
        <w:rFonts w:ascii="Times New Roman" w:hAnsi="Times New Roman" w:cs="Times New Roman" w:hint="default"/>
      </w:rPr>
    </w:lvl>
    <w:lvl w:ilvl="1" w:tplc="04090003" w:tentative="1">
      <w:start w:val="1"/>
      <w:numFmt w:val="bullet"/>
      <w:lvlText w:val="o"/>
      <w:lvlJc w:val="left"/>
      <w:pPr>
        <w:tabs>
          <w:tab w:val="num" w:pos="1650"/>
        </w:tabs>
        <w:ind w:left="1650" w:hanging="360"/>
      </w:pPr>
      <w:rPr>
        <w:rFonts w:ascii="Courier New" w:hAnsi="Courier New" w:cs="Courier New" w:hint="default"/>
      </w:rPr>
    </w:lvl>
    <w:lvl w:ilvl="2" w:tplc="04090005" w:tentative="1">
      <w:start w:val="1"/>
      <w:numFmt w:val="bullet"/>
      <w:lvlText w:val=""/>
      <w:lvlJc w:val="left"/>
      <w:pPr>
        <w:tabs>
          <w:tab w:val="num" w:pos="2370"/>
        </w:tabs>
        <w:ind w:left="2370" w:hanging="360"/>
      </w:pPr>
      <w:rPr>
        <w:rFonts w:ascii="Wingdings" w:hAnsi="Wingdings" w:hint="default"/>
      </w:rPr>
    </w:lvl>
    <w:lvl w:ilvl="3" w:tplc="04090001" w:tentative="1">
      <w:start w:val="1"/>
      <w:numFmt w:val="bullet"/>
      <w:lvlText w:val=""/>
      <w:lvlJc w:val="left"/>
      <w:pPr>
        <w:tabs>
          <w:tab w:val="num" w:pos="3090"/>
        </w:tabs>
        <w:ind w:left="3090" w:hanging="360"/>
      </w:pPr>
      <w:rPr>
        <w:rFonts w:ascii="Symbol" w:hAnsi="Symbol" w:hint="default"/>
      </w:rPr>
    </w:lvl>
    <w:lvl w:ilvl="4" w:tplc="04090003" w:tentative="1">
      <w:start w:val="1"/>
      <w:numFmt w:val="bullet"/>
      <w:lvlText w:val="o"/>
      <w:lvlJc w:val="left"/>
      <w:pPr>
        <w:tabs>
          <w:tab w:val="num" w:pos="3810"/>
        </w:tabs>
        <w:ind w:left="3810" w:hanging="360"/>
      </w:pPr>
      <w:rPr>
        <w:rFonts w:ascii="Courier New" w:hAnsi="Courier New" w:cs="Courier New" w:hint="default"/>
      </w:rPr>
    </w:lvl>
    <w:lvl w:ilvl="5" w:tplc="04090005" w:tentative="1">
      <w:start w:val="1"/>
      <w:numFmt w:val="bullet"/>
      <w:lvlText w:val=""/>
      <w:lvlJc w:val="left"/>
      <w:pPr>
        <w:tabs>
          <w:tab w:val="num" w:pos="4530"/>
        </w:tabs>
        <w:ind w:left="4530" w:hanging="360"/>
      </w:pPr>
      <w:rPr>
        <w:rFonts w:ascii="Wingdings" w:hAnsi="Wingdings" w:hint="default"/>
      </w:rPr>
    </w:lvl>
    <w:lvl w:ilvl="6" w:tplc="04090001" w:tentative="1">
      <w:start w:val="1"/>
      <w:numFmt w:val="bullet"/>
      <w:lvlText w:val=""/>
      <w:lvlJc w:val="left"/>
      <w:pPr>
        <w:tabs>
          <w:tab w:val="num" w:pos="5250"/>
        </w:tabs>
        <w:ind w:left="5250" w:hanging="360"/>
      </w:pPr>
      <w:rPr>
        <w:rFonts w:ascii="Symbol" w:hAnsi="Symbol" w:hint="default"/>
      </w:rPr>
    </w:lvl>
    <w:lvl w:ilvl="7" w:tplc="04090003" w:tentative="1">
      <w:start w:val="1"/>
      <w:numFmt w:val="bullet"/>
      <w:lvlText w:val="o"/>
      <w:lvlJc w:val="left"/>
      <w:pPr>
        <w:tabs>
          <w:tab w:val="num" w:pos="5970"/>
        </w:tabs>
        <w:ind w:left="5970" w:hanging="360"/>
      </w:pPr>
      <w:rPr>
        <w:rFonts w:ascii="Courier New" w:hAnsi="Courier New" w:cs="Courier New" w:hint="default"/>
      </w:rPr>
    </w:lvl>
    <w:lvl w:ilvl="8" w:tplc="04090005" w:tentative="1">
      <w:start w:val="1"/>
      <w:numFmt w:val="bullet"/>
      <w:lvlText w:val=""/>
      <w:lvlJc w:val="left"/>
      <w:pPr>
        <w:tabs>
          <w:tab w:val="num" w:pos="6690"/>
        </w:tabs>
        <w:ind w:left="6690" w:hanging="360"/>
      </w:pPr>
      <w:rPr>
        <w:rFonts w:ascii="Wingdings" w:hAnsi="Wingdings" w:hint="default"/>
      </w:rPr>
    </w:lvl>
  </w:abstractNum>
  <w:abstractNum w:abstractNumId="21" w15:restartNumberingAfterBreak="0">
    <w:nsid w:val="685674E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6B1420C2"/>
    <w:multiLevelType w:val="multilevel"/>
    <w:tmpl w:val="4D5C1696"/>
    <w:lvl w:ilvl="0">
      <w:start w:val="1"/>
      <w:numFmt w:val="decimal"/>
      <w:suff w:val="nothing"/>
      <w:lvlText w:val="Schedule %1"/>
      <w:lvlJc w:val="left"/>
      <w:pPr>
        <w:ind w:left="0" w:firstLine="0"/>
      </w:pPr>
      <w:rPr>
        <w:rFonts w:ascii="Arial" w:hAnsi="Arial" w:hint="default"/>
        <w:b w:val="0"/>
        <w:i w:val="0"/>
      </w:rPr>
    </w:lvl>
    <w:lvl w:ilvl="1">
      <w:start w:val="1"/>
      <w:numFmt w:val="decimal"/>
      <w:lvlText w:val="%2."/>
      <w:lvlJc w:val="left"/>
      <w:pPr>
        <w:tabs>
          <w:tab w:val="num" w:pos="680"/>
        </w:tabs>
        <w:ind w:left="680" w:hanging="680"/>
      </w:pPr>
    </w:lvl>
    <w:lvl w:ilvl="2">
      <w:start w:val="1"/>
      <w:numFmt w:val="decimal"/>
      <w:lvlText w:val="%2.%3"/>
      <w:lvlJc w:val="left"/>
      <w:pPr>
        <w:tabs>
          <w:tab w:val="num" w:pos="680"/>
        </w:tabs>
        <w:ind w:left="680" w:hanging="680"/>
      </w:pPr>
    </w:lvl>
    <w:lvl w:ilvl="3">
      <w:start w:val="1"/>
      <w:numFmt w:val="lowerLetter"/>
      <w:lvlText w:val="(%4)"/>
      <w:lvlJc w:val="left"/>
      <w:pPr>
        <w:tabs>
          <w:tab w:val="num" w:pos="1361"/>
        </w:tabs>
        <w:ind w:left="1361" w:hanging="681"/>
      </w:pPr>
    </w:lvl>
    <w:lvl w:ilvl="4">
      <w:start w:val="1"/>
      <w:numFmt w:val="lowerRoman"/>
      <w:lvlText w:val="(%5)"/>
      <w:lvlJc w:val="left"/>
      <w:pPr>
        <w:tabs>
          <w:tab w:val="num" w:pos="2081"/>
        </w:tabs>
        <w:ind w:left="2041" w:hanging="680"/>
      </w:pPr>
    </w:lvl>
    <w:lvl w:ilvl="5">
      <w:start w:val="1"/>
      <w:numFmt w:val="upperLetter"/>
      <w:lvlText w:val="(%6)"/>
      <w:lvlJc w:val="left"/>
      <w:pPr>
        <w:tabs>
          <w:tab w:val="num" w:pos="2722"/>
        </w:tabs>
        <w:ind w:left="2722" w:hanging="681"/>
      </w:pPr>
    </w:lvl>
    <w:lvl w:ilvl="6">
      <w:start w:val="1"/>
      <w:numFmt w:val="none"/>
      <w:suff w:val="nothing"/>
      <w:lvlText w:val=""/>
      <w:lvlJc w:val="left"/>
      <w:pPr>
        <w:ind w:left="0" w:firstLine="0"/>
      </w:pPr>
    </w:lvl>
    <w:lvl w:ilvl="7">
      <w:start w:val="1"/>
      <w:numFmt w:val="none"/>
      <w:suff w:val="nothing"/>
      <w:lvlText w:val="%8"/>
      <w:lvlJc w:val="left"/>
      <w:pPr>
        <w:ind w:left="0" w:firstLine="0"/>
      </w:pPr>
    </w:lvl>
    <w:lvl w:ilvl="8">
      <w:start w:val="1"/>
      <w:numFmt w:val="none"/>
      <w:suff w:val="nothing"/>
      <w:lvlText w:val="%9"/>
      <w:lvlJc w:val="left"/>
      <w:pPr>
        <w:ind w:left="0" w:firstLine="0"/>
      </w:pPr>
    </w:lvl>
  </w:abstractNum>
  <w:abstractNum w:abstractNumId="23" w15:restartNumberingAfterBreak="0">
    <w:nsid w:val="7710775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19892461">
    <w:abstractNumId w:val="16"/>
  </w:num>
  <w:num w:numId="2" w16cid:durableId="1325474016">
    <w:abstractNumId w:val="0"/>
  </w:num>
  <w:num w:numId="3" w16cid:durableId="488135761">
    <w:abstractNumId w:val="19"/>
  </w:num>
  <w:num w:numId="4" w16cid:durableId="55982737">
    <w:abstractNumId w:val="2"/>
  </w:num>
  <w:num w:numId="5" w16cid:durableId="2124106526">
    <w:abstractNumId w:val="13"/>
  </w:num>
  <w:num w:numId="6" w16cid:durableId="810943686">
    <w:abstractNumId w:val="10"/>
  </w:num>
  <w:num w:numId="7" w16cid:durableId="520701674">
    <w:abstractNumId w:val="12"/>
  </w:num>
  <w:num w:numId="8" w16cid:durableId="262303869">
    <w:abstractNumId w:val="13"/>
  </w:num>
  <w:num w:numId="9" w16cid:durableId="2139950163">
    <w:abstractNumId w:val="7"/>
  </w:num>
  <w:num w:numId="10" w16cid:durableId="441613472">
    <w:abstractNumId w:val="20"/>
  </w:num>
  <w:num w:numId="11" w16cid:durableId="1993485217">
    <w:abstractNumId w:val="11"/>
  </w:num>
  <w:num w:numId="12" w16cid:durableId="1661814440">
    <w:abstractNumId w:val="23"/>
  </w:num>
  <w:num w:numId="13" w16cid:durableId="137840434">
    <w:abstractNumId w:val="14"/>
  </w:num>
  <w:num w:numId="14" w16cid:durableId="972826673">
    <w:abstractNumId w:val="21"/>
  </w:num>
  <w:num w:numId="15" w16cid:durableId="697849390">
    <w:abstractNumId w:val="7"/>
  </w:num>
  <w:num w:numId="16" w16cid:durableId="1060250337">
    <w:abstractNumId w:val="20"/>
  </w:num>
  <w:num w:numId="17" w16cid:durableId="361790403">
    <w:abstractNumId w:val="7"/>
  </w:num>
  <w:num w:numId="18" w16cid:durableId="2115785992">
    <w:abstractNumId w:val="0"/>
  </w:num>
  <w:num w:numId="19" w16cid:durableId="1371144922">
    <w:abstractNumId w:val="0"/>
  </w:num>
  <w:num w:numId="20" w16cid:durableId="2107725022">
    <w:abstractNumId w:val="7"/>
  </w:num>
  <w:num w:numId="21" w16cid:durableId="91053962">
    <w:abstractNumId w:val="10"/>
  </w:num>
  <w:num w:numId="22" w16cid:durableId="213395658">
    <w:abstractNumId w:val="13"/>
  </w:num>
  <w:num w:numId="23" w16cid:durableId="1369145269">
    <w:abstractNumId w:val="13"/>
  </w:num>
  <w:num w:numId="24" w16cid:durableId="1145010149">
    <w:abstractNumId w:val="5"/>
  </w:num>
  <w:num w:numId="25" w16cid:durableId="346179978">
    <w:abstractNumId w:val="5"/>
  </w:num>
  <w:num w:numId="26" w16cid:durableId="1735084580">
    <w:abstractNumId w:val="7"/>
  </w:num>
  <w:num w:numId="27" w16cid:durableId="542328729">
    <w:abstractNumId w:val="7"/>
  </w:num>
  <w:num w:numId="28" w16cid:durableId="1898935619">
    <w:abstractNumId w:val="5"/>
  </w:num>
  <w:num w:numId="29" w16cid:durableId="205265058">
    <w:abstractNumId w:val="5"/>
  </w:num>
  <w:num w:numId="30" w16cid:durableId="432744296">
    <w:abstractNumId w:val="5"/>
  </w:num>
  <w:num w:numId="31" w16cid:durableId="177697604">
    <w:abstractNumId w:val="19"/>
  </w:num>
  <w:num w:numId="32" w16cid:durableId="1277759770">
    <w:abstractNumId w:val="3"/>
  </w:num>
  <w:num w:numId="33" w16cid:durableId="339506406">
    <w:abstractNumId w:val="22"/>
  </w:num>
  <w:num w:numId="34" w16cid:durableId="1640529689">
    <w:abstractNumId w:val="1"/>
  </w:num>
  <w:num w:numId="35" w16cid:durableId="1245840321">
    <w:abstractNumId w:val="15"/>
  </w:num>
  <w:num w:numId="36" w16cid:durableId="1078479281">
    <w:abstractNumId w:val="18"/>
  </w:num>
  <w:num w:numId="37" w16cid:durableId="917441045">
    <w:abstractNumId w:val="9"/>
  </w:num>
  <w:num w:numId="38" w16cid:durableId="1147864533">
    <w:abstractNumId w:val="17"/>
  </w:num>
  <w:num w:numId="39" w16cid:durableId="400063501">
    <w:abstractNumId w:val="4"/>
  </w:num>
  <w:num w:numId="40" w16cid:durableId="1397433464">
    <w:abstractNumId w:val="8"/>
  </w:num>
  <w:num w:numId="41" w16cid:durableId="489754982">
    <w:abstractNumId w:val="6"/>
  </w:num>
</w:numbering>
</file>

<file path=word/settings.xml><?xml version="1.0" encoding="utf-8"?>
<w:settings xmlns:m="http://schemas.openxmlformats.org/officeDocument/2006/math" xmlns:mc="http://schemas.openxmlformats.org/markup-compatibility/2006"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zoom w:percent="100"/>
  <w:printFractionalCharacterWidth/>
  <w:hideGrammaticalErrors/>
  <w:activeWritingStyle w:appName="MSWord" w:lang="en-AU" w:vendorID="8" w:dllVersion="513" w:checkStyle="1"/>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numFmt w:val="lowerRoman"/>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1E80"/>
    <w:rsid w:val="00000C09"/>
    <w:rsid w:val="0001492A"/>
    <w:rsid w:val="00015027"/>
    <w:rsid w:val="00026580"/>
    <w:rsid w:val="000306BA"/>
    <w:rsid w:val="00033740"/>
    <w:rsid w:val="0003482B"/>
    <w:rsid w:val="00035D60"/>
    <w:rsid w:val="0004192B"/>
    <w:rsid w:val="00043817"/>
    <w:rsid w:val="000525FE"/>
    <w:rsid w:val="00054110"/>
    <w:rsid w:val="00070729"/>
    <w:rsid w:val="00076042"/>
    <w:rsid w:val="00093056"/>
    <w:rsid w:val="000A6053"/>
    <w:rsid w:val="000B0F8F"/>
    <w:rsid w:val="000B3AFA"/>
    <w:rsid w:val="000C383C"/>
    <w:rsid w:val="000C4FF0"/>
    <w:rsid w:val="000D747D"/>
    <w:rsid w:val="000E037C"/>
    <w:rsid w:val="0010551F"/>
    <w:rsid w:val="00113C6F"/>
    <w:rsid w:val="00114AF8"/>
    <w:rsid w:val="0012143A"/>
    <w:rsid w:val="001452D0"/>
    <w:rsid w:val="00147FF6"/>
    <w:rsid w:val="00152A1C"/>
    <w:rsid w:val="00154A03"/>
    <w:rsid w:val="00164FFE"/>
    <w:rsid w:val="00165935"/>
    <w:rsid w:val="0017191C"/>
    <w:rsid w:val="00173F6D"/>
    <w:rsid w:val="00183A47"/>
    <w:rsid w:val="001933EE"/>
    <w:rsid w:val="00195012"/>
    <w:rsid w:val="001975D7"/>
    <w:rsid w:val="001A2F52"/>
    <w:rsid w:val="001C1983"/>
    <w:rsid w:val="001C2051"/>
    <w:rsid w:val="001C69A9"/>
    <w:rsid w:val="001D5D6B"/>
    <w:rsid w:val="001E3722"/>
    <w:rsid w:val="001E5C94"/>
    <w:rsid w:val="001F3B8D"/>
    <w:rsid w:val="00211DCB"/>
    <w:rsid w:val="00216F04"/>
    <w:rsid w:val="00221F32"/>
    <w:rsid w:val="0025068A"/>
    <w:rsid w:val="00265A15"/>
    <w:rsid w:val="0026671C"/>
    <w:rsid w:val="002721D7"/>
    <w:rsid w:val="002A20C2"/>
    <w:rsid w:val="002B4035"/>
    <w:rsid w:val="002B4CBB"/>
    <w:rsid w:val="002D75AD"/>
    <w:rsid w:val="003042D9"/>
    <w:rsid w:val="00332487"/>
    <w:rsid w:val="00346171"/>
    <w:rsid w:val="00346453"/>
    <w:rsid w:val="003465CA"/>
    <w:rsid w:val="003634A4"/>
    <w:rsid w:val="00367FDF"/>
    <w:rsid w:val="003704FE"/>
    <w:rsid w:val="00377499"/>
    <w:rsid w:val="003806E9"/>
    <w:rsid w:val="00385556"/>
    <w:rsid w:val="00385DD3"/>
    <w:rsid w:val="00391E4E"/>
    <w:rsid w:val="00395E07"/>
    <w:rsid w:val="00396C95"/>
    <w:rsid w:val="003A3A44"/>
    <w:rsid w:val="003A75D3"/>
    <w:rsid w:val="003D6832"/>
    <w:rsid w:val="003E4528"/>
    <w:rsid w:val="003E5ED2"/>
    <w:rsid w:val="003F10B8"/>
    <w:rsid w:val="004063DD"/>
    <w:rsid w:val="00406801"/>
    <w:rsid w:val="004147FD"/>
    <w:rsid w:val="00420ABA"/>
    <w:rsid w:val="0044474C"/>
    <w:rsid w:val="004463CE"/>
    <w:rsid w:val="0045251F"/>
    <w:rsid w:val="00471E80"/>
    <w:rsid w:val="004800E4"/>
    <w:rsid w:val="0049254F"/>
    <w:rsid w:val="00493FBB"/>
    <w:rsid w:val="004A1C7A"/>
    <w:rsid w:val="004B7490"/>
    <w:rsid w:val="004C00F9"/>
    <w:rsid w:val="004D3577"/>
    <w:rsid w:val="004E779E"/>
    <w:rsid w:val="00500AF2"/>
    <w:rsid w:val="0050389A"/>
    <w:rsid w:val="005163BB"/>
    <w:rsid w:val="00517F32"/>
    <w:rsid w:val="00550729"/>
    <w:rsid w:val="005510E4"/>
    <w:rsid w:val="005532A9"/>
    <w:rsid w:val="005615AA"/>
    <w:rsid w:val="0056684B"/>
    <w:rsid w:val="0057003C"/>
    <w:rsid w:val="00584ECB"/>
    <w:rsid w:val="00593B01"/>
    <w:rsid w:val="005C3403"/>
    <w:rsid w:val="005C633A"/>
    <w:rsid w:val="005D3BE6"/>
    <w:rsid w:val="005D4279"/>
    <w:rsid w:val="005E5B1E"/>
    <w:rsid w:val="005F0B9C"/>
    <w:rsid w:val="005F518F"/>
    <w:rsid w:val="005F6053"/>
    <w:rsid w:val="005F6D32"/>
    <w:rsid w:val="006061C5"/>
    <w:rsid w:val="006142B1"/>
    <w:rsid w:val="00635776"/>
    <w:rsid w:val="00655106"/>
    <w:rsid w:val="00655AC6"/>
    <w:rsid w:val="00655EED"/>
    <w:rsid w:val="006567D2"/>
    <w:rsid w:val="00663CEC"/>
    <w:rsid w:val="00666930"/>
    <w:rsid w:val="00667CD7"/>
    <w:rsid w:val="00682A41"/>
    <w:rsid w:val="006952CA"/>
    <w:rsid w:val="00695855"/>
    <w:rsid w:val="00695A40"/>
    <w:rsid w:val="006A05B6"/>
    <w:rsid w:val="006A7576"/>
    <w:rsid w:val="006B258D"/>
    <w:rsid w:val="006B35CB"/>
    <w:rsid w:val="006D4AE8"/>
    <w:rsid w:val="006E6D2A"/>
    <w:rsid w:val="006F4B89"/>
    <w:rsid w:val="006F73BB"/>
    <w:rsid w:val="0074575A"/>
    <w:rsid w:val="0074728C"/>
    <w:rsid w:val="00750BC6"/>
    <w:rsid w:val="007533D6"/>
    <w:rsid w:val="007551B5"/>
    <w:rsid w:val="00755CB6"/>
    <w:rsid w:val="00756783"/>
    <w:rsid w:val="007620F4"/>
    <w:rsid w:val="00776C7E"/>
    <w:rsid w:val="007B2C8C"/>
    <w:rsid w:val="007F566F"/>
    <w:rsid w:val="00816A88"/>
    <w:rsid w:val="0082407F"/>
    <w:rsid w:val="00830CA9"/>
    <w:rsid w:val="00832630"/>
    <w:rsid w:val="00835E8B"/>
    <w:rsid w:val="0083645C"/>
    <w:rsid w:val="008553FC"/>
    <w:rsid w:val="0086261B"/>
    <w:rsid w:val="00865883"/>
    <w:rsid w:val="00876920"/>
    <w:rsid w:val="008778AF"/>
    <w:rsid w:val="00886FFF"/>
    <w:rsid w:val="00887CFB"/>
    <w:rsid w:val="00892683"/>
    <w:rsid w:val="008940F8"/>
    <w:rsid w:val="00895922"/>
    <w:rsid w:val="008A25E0"/>
    <w:rsid w:val="008A6782"/>
    <w:rsid w:val="008B3753"/>
    <w:rsid w:val="008B4584"/>
    <w:rsid w:val="008B6CA3"/>
    <w:rsid w:val="008C18F5"/>
    <w:rsid w:val="008D400B"/>
    <w:rsid w:val="008D57D7"/>
    <w:rsid w:val="008D6870"/>
    <w:rsid w:val="008D68B9"/>
    <w:rsid w:val="008E557E"/>
    <w:rsid w:val="008E5DCD"/>
    <w:rsid w:val="008E799C"/>
    <w:rsid w:val="008F4C7D"/>
    <w:rsid w:val="008F690E"/>
    <w:rsid w:val="00913BCC"/>
    <w:rsid w:val="0091448E"/>
    <w:rsid w:val="00922113"/>
    <w:rsid w:val="009244B7"/>
    <w:rsid w:val="00925AE9"/>
    <w:rsid w:val="00933963"/>
    <w:rsid w:val="00944DD7"/>
    <w:rsid w:val="00957D09"/>
    <w:rsid w:val="00963298"/>
    <w:rsid w:val="00976C87"/>
    <w:rsid w:val="009772C2"/>
    <w:rsid w:val="00980774"/>
    <w:rsid w:val="00984422"/>
    <w:rsid w:val="0099258F"/>
    <w:rsid w:val="009A42D8"/>
    <w:rsid w:val="009B118F"/>
    <w:rsid w:val="009B1E9A"/>
    <w:rsid w:val="009B2FE5"/>
    <w:rsid w:val="009C0EFD"/>
    <w:rsid w:val="009C37B7"/>
    <w:rsid w:val="009C46D5"/>
    <w:rsid w:val="009D223F"/>
    <w:rsid w:val="00A05402"/>
    <w:rsid w:val="00A06CD8"/>
    <w:rsid w:val="00A1077B"/>
    <w:rsid w:val="00A16ECB"/>
    <w:rsid w:val="00A341D1"/>
    <w:rsid w:val="00A41850"/>
    <w:rsid w:val="00A6597C"/>
    <w:rsid w:val="00A8763C"/>
    <w:rsid w:val="00AB5BE3"/>
    <w:rsid w:val="00AC2163"/>
    <w:rsid w:val="00AC63A8"/>
    <w:rsid w:val="00AD0420"/>
    <w:rsid w:val="00AD5EAE"/>
    <w:rsid w:val="00AD7204"/>
    <w:rsid w:val="00AD748D"/>
    <w:rsid w:val="00AD7B04"/>
    <w:rsid w:val="00B029FB"/>
    <w:rsid w:val="00B24A40"/>
    <w:rsid w:val="00B2589F"/>
    <w:rsid w:val="00B271F3"/>
    <w:rsid w:val="00B40134"/>
    <w:rsid w:val="00B50F70"/>
    <w:rsid w:val="00B63C93"/>
    <w:rsid w:val="00B74727"/>
    <w:rsid w:val="00B83403"/>
    <w:rsid w:val="00B847BE"/>
    <w:rsid w:val="00B87EA6"/>
    <w:rsid w:val="00B906AF"/>
    <w:rsid w:val="00B91145"/>
    <w:rsid w:val="00B923BF"/>
    <w:rsid w:val="00BA509B"/>
    <w:rsid w:val="00BB3C2D"/>
    <w:rsid w:val="00BC4DEA"/>
    <w:rsid w:val="00BD47DE"/>
    <w:rsid w:val="00BE0DB0"/>
    <w:rsid w:val="00BE188B"/>
    <w:rsid w:val="00BF08E7"/>
    <w:rsid w:val="00BF35F9"/>
    <w:rsid w:val="00BF7065"/>
    <w:rsid w:val="00C10EF1"/>
    <w:rsid w:val="00C244ED"/>
    <w:rsid w:val="00C425FE"/>
    <w:rsid w:val="00C42FA6"/>
    <w:rsid w:val="00C44B56"/>
    <w:rsid w:val="00C4619E"/>
    <w:rsid w:val="00C652CE"/>
    <w:rsid w:val="00C72A30"/>
    <w:rsid w:val="00C76D43"/>
    <w:rsid w:val="00C77413"/>
    <w:rsid w:val="00C97CE5"/>
    <w:rsid w:val="00CB2EEF"/>
    <w:rsid w:val="00CB6139"/>
    <w:rsid w:val="00CB724D"/>
    <w:rsid w:val="00CE7DE6"/>
    <w:rsid w:val="00CF1B97"/>
    <w:rsid w:val="00D16B76"/>
    <w:rsid w:val="00D245D6"/>
    <w:rsid w:val="00D3270C"/>
    <w:rsid w:val="00D56651"/>
    <w:rsid w:val="00D61628"/>
    <w:rsid w:val="00D65B75"/>
    <w:rsid w:val="00D7123E"/>
    <w:rsid w:val="00D73A02"/>
    <w:rsid w:val="00D828A1"/>
    <w:rsid w:val="00D9043E"/>
    <w:rsid w:val="00D90768"/>
    <w:rsid w:val="00D917E7"/>
    <w:rsid w:val="00D92D4A"/>
    <w:rsid w:val="00D92F68"/>
    <w:rsid w:val="00D942AF"/>
    <w:rsid w:val="00DA00B9"/>
    <w:rsid w:val="00DA24A3"/>
    <w:rsid w:val="00DA6AE7"/>
    <w:rsid w:val="00DB53E4"/>
    <w:rsid w:val="00DD4268"/>
    <w:rsid w:val="00DD63AB"/>
    <w:rsid w:val="00DF27D6"/>
    <w:rsid w:val="00DF2B7E"/>
    <w:rsid w:val="00E001C9"/>
    <w:rsid w:val="00E025CF"/>
    <w:rsid w:val="00E2019B"/>
    <w:rsid w:val="00E22D6F"/>
    <w:rsid w:val="00E23FDE"/>
    <w:rsid w:val="00E34F94"/>
    <w:rsid w:val="00E4394A"/>
    <w:rsid w:val="00E47286"/>
    <w:rsid w:val="00E56438"/>
    <w:rsid w:val="00E56E5F"/>
    <w:rsid w:val="00E57BAC"/>
    <w:rsid w:val="00E60190"/>
    <w:rsid w:val="00E66049"/>
    <w:rsid w:val="00E7425A"/>
    <w:rsid w:val="00E913B7"/>
    <w:rsid w:val="00E951A6"/>
    <w:rsid w:val="00EA1E44"/>
    <w:rsid w:val="00EA2177"/>
    <w:rsid w:val="00EA238D"/>
    <w:rsid w:val="00EA3934"/>
    <w:rsid w:val="00EA3CD1"/>
    <w:rsid w:val="00EB2216"/>
    <w:rsid w:val="00EB2658"/>
    <w:rsid w:val="00EB335E"/>
    <w:rsid w:val="00EC064B"/>
    <w:rsid w:val="00EC2270"/>
    <w:rsid w:val="00EC7115"/>
    <w:rsid w:val="00ED3BC2"/>
    <w:rsid w:val="00ED470A"/>
    <w:rsid w:val="00ED4C52"/>
    <w:rsid w:val="00EE451D"/>
    <w:rsid w:val="00EF4C41"/>
    <w:rsid w:val="00F01B14"/>
    <w:rsid w:val="00F06734"/>
    <w:rsid w:val="00F07C78"/>
    <w:rsid w:val="00F149C3"/>
    <w:rsid w:val="00F20FCF"/>
    <w:rsid w:val="00F22960"/>
    <w:rsid w:val="00F415BD"/>
    <w:rsid w:val="00F52012"/>
    <w:rsid w:val="00F569CD"/>
    <w:rsid w:val="00F57EA1"/>
    <w:rsid w:val="00F60467"/>
    <w:rsid w:val="00F622A9"/>
    <w:rsid w:val="00F806AE"/>
    <w:rsid w:val="00F809E4"/>
    <w:rsid w:val="00F840CF"/>
    <w:rsid w:val="00FA082F"/>
    <w:rsid w:val="00FA520F"/>
    <w:rsid w:val="00FD337D"/>
    <w:rsid w:val="00FF00DA"/>
    <w:rsid w:val="00FF5A56"/>
    <w:rsid w:val="00FF5F9B"/>
    <w:rsid w:val="00FF712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2D5AD1"/>
  <w15:docId w15:val="{F0059508-8643-442E-AA72-EED4F2F88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ms Rmn" w:eastAsia="Times New Roman" w:hAnsi="Tms Rm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3C2D"/>
    <w:pPr>
      <w:tabs>
        <w:tab w:val="left" w:pos="3969"/>
      </w:tabs>
      <w:spacing w:after="60"/>
    </w:pPr>
    <w:rPr>
      <w:rFonts w:ascii="Arial" w:hAnsi="Arial"/>
      <w:lang w:eastAsia="en-US"/>
    </w:rPr>
  </w:style>
  <w:style w:type="paragraph" w:styleId="Heading1">
    <w:name w:val="heading 1"/>
    <w:next w:val="Heading2"/>
    <w:qFormat/>
    <w:rsid w:val="00BB3C2D"/>
    <w:pPr>
      <w:keepNext/>
      <w:numPr>
        <w:numId w:val="6"/>
      </w:numPr>
      <w:pBdr>
        <w:top w:val="single" w:sz="6" w:space="1" w:color="auto"/>
        <w:left w:val="single" w:sz="6" w:space="1" w:color="auto"/>
        <w:bottom w:val="single" w:sz="6" w:space="1" w:color="auto"/>
        <w:right w:val="single" w:sz="6" w:space="1" w:color="auto"/>
      </w:pBdr>
      <w:tabs>
        <w:tab w:val="right" w:pos="7655"/>
      </w:tabs>
      <w:spacing w:after="600"/>
      <w:outlineLvl w:val="0"/>
    </w:pPr>
    <w:rPr>
      <w:rFonts w:ascii="Arial" w:hAnsi="Arial"/>
      <w:b/>
      <w:caps/>
      <w:lang w:eastAsia="en-US"/>
    </w:rPr>
  </w:style>
  <w:style w:type="paragraph" w:styleId="Heading2">
    <w:name w:val="heading 2"/>
    <w:next w:val="Normal"/>
    <w:qFormat/>
    <w:rsid w:val="00BB3C2D"/>
    <w:pPr>
      <w:keepNext/>
      <w:numPr>
        <w:ilvl w:val="1"/>
        <w:numId w:val="6"/>
      </w:numPr>
      <w:pBdr>
        <w:bottom w:val="single" w:sz="6" w:space="1" w:color="auto"/>
      </w:pBdr>
      <w:spacing w:before="240" w:after="240"/>
      <w:outlineLvl w:val="1"/>
    </w:pPr>
    <w:rPr>
      <w:rFonts w:ascii="Arial" w:hAnsi="Arial"/>
      <w:b/>
      <w:caps/>
      <w:lang w:eastAsia="en-US"/>
    </w:rPr>
  </w:style>
  <w:style w:type="paragraph" w:styleId="Heading3">
    <w:name w:val="heading 3"/>
    <w:qFormat/>
    <w:rsid w:val="00BB3C2D"/>
    <w:pPr>
      <w:keepNext/>
      <w:numPr>
        <w:ilvl w:val="2"/>
        <w:numId w:val="6"/>
      </w:numPr>
      <w:spacing w:before="120" w:after="120"/>
      <w:outlineLvl w:val="2"/>
    </w:pPr>
    <w:rPr>
      <w:rFonts w:ascii="Arial" w:hAnsi="Arial"/>
      <w:b/>
      <w:caps/>
      <w:snapToGrid w:val="0"/>
      <w:lang w:eastAsia="en-US"/>
    </w:rPr>
  </w:style>
  <w:style w:type="paragraph" w:styleId="Heading4">
    <w:name w:val="heading 4"/>
    <w:next w:val="Normal"/>
    <w:qFormat/>
    <w:rsid w:val="00BB3C2D"/>
    <w:pPr>
      <w:keepNext/>
      <w:tabs>
        <w:tab w:val="left" w:pos="567"/>
        <w:tab w:val="left" w:pos="3969"/>
      </w:tabs>
      <w:spacing w:after="20"/>
      <w:outlineLvl w:val="3"/>
    </w:pPr>
    <w:rPr>
      <w:rFonts w:ascii="Arial" w:hAnsi="Arial"/>
      <w:b/>
      <w:lang w:eastAsia="en-US"/>
    </w:rPr>
  </w:style>
  <w:style w:type="paragraph" w:styleId="Heading5">
    <w:name w:val="heading 5"/>
    <w:basedOn w:val="Normal"/>
    <w:next w:val="Normal"/>
    <w:qFormat/>
    <w:rsid w:val="00BB3C2D"/>
    <w:pPr>
      <w:numPr>
        <w:ilvl w:val="4"/>
        <w:numId w:val="6"/>
      </w:numPr>
      <w:spacing w:before="240"/>
      <w:outlineLvl w:val="4"/>
    </w:pPr>
    <w:rPr>
      <w:sz w:val="22"/>
    </w:rPr>
  </w:style>
  <w:style w:type="paragraph" w:styleId="Heading6">
    <w:name w:val="heading 6"/>
    <w:basedOn w:val="Normal"/>
    <w:next w:val="Normal"/>
    <w:qFormat/>
    <w:rsid w:val="00BB3C2D"/>
    <w:pPr>
      <w:numPr>
        <w:ilvl w:val="5"/>
        <w:numId w:val="6"/>
      </w:numPr>
      <w:spacing w:before="240"/>
      <w:outlineLvl w:val="5"/>
    </w:pPr>
    <w:rPr>
      <w:i/>
      <w:sz w:val="22"/>
    </w:rPr>
  </w:style>
  <w:style w:type="paragraph" w:styleId="Heading7">
    <w:name w:val="heading 7"/>
    <w:basedOn w:val="Normal"/>
    <w:next w:val="Normal"/>
    <w:qFormat/>
    <w:rsid w:val="00BB3C2D"/>
    <w:pPr>
      <w:numPr>
        <w:ilvl w:val="6"/>
        <w:numId w:val="6"/>
      </w:numPr>
      <w:spacing w:before="240"/>
      <w:outlineLvl w:val="6"/>
    </w:pPr>
  </w:style>
  <w:style w:type="paragraph" w:styleId="Heading8">
    <w:name w:val="heading 8"/>
    <w:basedOn w:val="Normal"/>
    <w:next w:val="Normal"/>
    <w:qFormat/>
    <w:rsid w:val="00BB3C2D"/>
    <w:pPr>
      <w:numPr>
        <w:ilvl w:val="7"/>
        <w:numId w:val="6"/>
      </w:numPr>
      <w:spacing w:before="240"/>
      <w:outlineLvl w:val="7"/>
    </w:pPr>
    <w:rPr>
      <w:i/>
    </w:rPr>
  </w:style>
  <w:style w:type="paragraph" w:styleId="Heading9">
    <w:name w:val="heading 9"/>
    <w:basedOn w:val="Normal"/>
    <w:next w:val="Normal"/>
    <w:qFormat/>
    <w:rsid w:val="00BB3C2D"/>
    <w:pPr>
      <w:numPr>
        <w:ilvl w:val="8"/>
        <w:numId w:val="6"/>
      </w:numPr>
      <w:spacing w:before="240"/>
      <w:outlineLvl w:val="8"/>
    </w:pPr>
    <w:rPr>
      <w:i/>
    </w:rPr>
  </w:style>
  <w:style w:type="character" w:default="1" w:styleId="DefaultParagraphFont">
    <w:name w:val="Default Paragraph Font"/>
    <w:uiPriority w:val="1"/>
    <w:semiHidden/>
    <w:unhideWhenUsed/>
    <w:rsid w:val="00BB3C2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BB3C2D"/>
  </w:style>
  <w:style w:type="paragraph" w:styleId="Footer">
    <w:name w:val="footer"/>
    <w:rsid w:val="00BB3C2D"/>
    <w:pPr>
      <w:tabs>
        <w:tab w:val="center" w:pos="4536"/>
        <w:tab w:val="right" w:pos="9072"/>
      </w:tabs>
    </w:pPr>
    <w:rPr>
      <w:rFonts w:ascii="Arial" w:hAnsi="Arial"/>
      <w:i/>
      <w:sz w:val="16"/>
      <w:szCs w:val="16"/>
      <w:lang w:eastAsia="en-US"/>
    </w:rPr>
  </w:style>
  <w:style w:type="paragraph" w:styleId="Header">
    <w:name w:val="header"/>
    <w:rsid w:val="00BB3C2D"/>
    <w:pPr>
      <w:pBdr>
        <w:bottom w:val="single" w:sz="6" w:space="4" w:color="auto"/>
      </w:pBdr>
      <w:tabs>
        <w:tab w:val="right" w:pos="9072"/>
      </w:tabs>
      <w:spacing w:after="200"/>
    </w:pPr>
    <w:rPr>
      <w:rFonts w:ascii="Arial" w:hAnsi="Arial"/>
      <w:b/>
      <w:i/>
      <w:lang w:eastAsia="en-US"/>
    </w:rPr>
  </w:style>
  <w:style w:type="paragraph" w:styleId="NormalIndent">
    <w:name w:val="Normal Indent"/>
    <w:rsid w:val="00BB3C2D"/>
    <w:pPr>
      <w:numPr>
        <w:numId w:val="5"/>
      </w:numPr>
      <w:tabs>
        <w:tab w:val="left" w:pos="210"/>
        <w:tab w:val="left" w:pos="3969"/>
      </w:tabs>
      <w:spacing w:after="60"/>
    </w:pPr>
    <w:rPr>
      <w:rFonts w:ascii="Arial" w:hAnsi="Arial"/>
      <w:lang w:eastAsia="en-US"/>
    </w:rPr>
  </w:style>
  <w:style w:type="paragraph" w:customStyle="1" w:styleId="Tabletext">
    <w:name w:val="Table text"/>
    <w:rsid w:val="00BB3C2D"/>
    <w:rPr>
      <w:rFonts w:ascii="Arial" w:hAnsi="Arial"/>
      <w:lang w:eastAsia="en-US"/>
    </w:rPr>
  </w:style>
  <w:style w:type="paragraph" w:customStyle="1" w:styleId="Tabletitle">
    <w:name w:val="Table title"/>
    <w:rsid w:val="00BB3C2D"/>
    <w:rPr>
      <w:rFonts w:ascii="Arial" w:hAnsi="Arial"/>
      <w:b/>
      <w:lang w:eastAsia="en-US"/>
    </w:rPr>
  </w:style>
  <w:style w:type="paragraph" w:customStyle="1" w:styleId="Tableindent">
    <w:name w:val="Table indent"/>
    <w:rsid w:val="00BB3C2D"/>
    <w:pPr>
      <w:numPr>
        <w:numId w:val="4"/>
      </w:numPr>
      <w:tabs>
        <w:tab w:val="left" w:pos="85"/>
      </w:tabs>
    </w:pPr>
    <w:rPr>
      <w:rFonts w:ascii="Arial" w:hAnsi="Arial"/>
      <w:lang w:eastAsia="en-US"/>
    </w:rPr>
  </w:style>
  <w:style w:type="paragraph" w:customStyle="1" w:styleId="NormalIndent2">
    <w:name w:val="Normal Indent 2"/>
    <w:rsid w:val="00BB3C2D"/>
    <w:pPr>
      <w:numPr>
        <w:numId w:val="3"/>
      </w:numPr>
      <w:tabs>
        <w:tab w:val="left" w:pos="420"/>
        <w:tab w:val="left" w:pos="3969"/>
      </w:tabs>
      <w:spacing w:after="60"/>
    </w:pPr>
    <w:rPr>
      <w:rFonts w:ascii="Arial" w:hAnsi="Arial"/>
      <w:lang w:eastAsia="en-US"/>
    </w:rPr>
  </w:style>
  <w:style w:type="paragraph" w:customStyle="1" w:styleId="NormalIndent3">
    <w:name w:val="Normal Indent 3"/>
    <w:rsid w:val="00BB3C2D"/>
    <w:pPr>
      <w:numPr>
        <w:numId w:val="2"/>
      </w:numPr>
      <w:tabs>
        <w:tab w:val="left" w:pos="420"/>
      </w:tabs>
      <w:spacing w:after="60"/>
    </w:pPr>
    <w:rPr>
      <w:rFonts w:ascii="Arial" w:hAnsi="Arial"/>
      <w:lang w:eastAsia="en-US"/>
    </w:rPr>
  </w:style>
  <w:style w:type="character" w:styleId="Hyperlink">
    <w:name w:val="Hyperlink"/>
    <w:rsid w:val="00BB3C2D"/>
    <w:rPr>
      <w:color w:val="0000FF"/>
      <w:u w:val="none"/>
      <w:bdr w:val="none" w:sz="0" w:space="0" w:color="auto"/>
    </w:rPr>
  </w:style>
  <w:style w:type="paragraph" w:customStyle="1" w:styleId="Guidancetabletext">
    <w:name w:val="Guidance table text"/>
    <w:basedOn w:val="Instructions"/>
    <w:rsid w:val="00BB3C2D"/>
    <w:pPr>
      <w:pBdr>
        <w:top w:val="none" w:sz="0" w:space="0" w:color="auto"/>
        <w:left w:val="none" w:sz="0" w:space="0" w:color="auto"/>
        <w:bottom w:val="none" w:sz="0" w:space="0" w:color="auto"/>
        <w:right w:val="none" w:sz="0" w:space="0" w:color="auto"/>
      </w:pBdr>
      <w:spacing w:after="0" w:line="240" w:lineRule="auto"/>
    </w:pPr>
    <w:rPr>
      <w:szCs w:val="16"/>
    </w:rPr>
  </w:style>
  <w:style w:type="character" w:customStyle="1" w:styleId="Bold">
    <w:name w:val="Bold"/>
    <w:rsid w:val="00BB3C2D"/>
    <w:rPr>
      <w:b/>
      <w:bCs/>
    </w:rPr>
  </w:style>
  <w:style w:type="character" w:customStyle="1" w:styleId="Italic">
    <w:name w:val="Italic"/>
    <w:rsid w:val="00BB3C2D"/>
    <w:rPr>
      <w:i/>
      <w:iCs/>
    </w:rPr>
  </w:style>
  <w:style w:type="character" w:customStyle="1" w:styleId="Symbol">
    <w:name w:val="Symbol"/>
    <w:rsid w:val="00BB3C2D"/>
    <w:rPr>
      <w:rFonts w:ascii="Symbol" w:hAnsi="Symbol"/>
    </w:rPr>
  </w:style>
  <w:style w:type="paragraph" w:customStyle="1" w:styleId="Instructions">
    <w:name w:val="Instructions"/>
    <w:basedOn w:val="Normal"/>
    <w:rsid w:val="00BB3C2D"/>
    <w:pPr>
      <w:pBdr>
        <w:top w:val="single" w:sz="4" w:space="1" w:color="auto"/>
        <w:left w:val="single" w:sz="4" w:space="4" w:color="auto"/>
        <w:bottom w:val="single" w:sz="4" w:space="1" w:color="auto"/>
        <w:right w:val="single" w:sz="4" w:space="4" w:color="auto"/>
      </w:pBdr>
      <w:spacing w:line="220" w:lineRule="exact"/>
    </w:pPr>
    <w:rPr>
      <w:vanish/>
      <w:color w:val="008000"/>
      <w:sz w:val="16"/>
    </w:rPr>
  </w:style>
  <w:style w:type="paragraph" w:customStyle="1" w:styleId="Instructionsindent">
    <w:name w:val="Instructions indent"/>
    <w:rsid w:val="00BB3C2D"/>
    <w:pPr>
      <w:numPr>
        <w:numId w:val="1"/>
      </w:numPr>
      <w:pBdr>
        <w:top w:val="single" w:sz="4" w:space="1" w:color="auto"/>
        <w:left w:val="single" w:sz="4" w:space="4" w:color="auto"/>
        <w:bottom w:val="single" w:sz="4" w:space="1" w:color="auto"/>
        <w:right w:val="single" w:sz="4" w:space="4" w:color="auto"/>
      </w:pBdr>
      <w:tabs>
        <w:tab w:val="left" w:pos="357"/>
      </w:tabs>
      <w:spacing w:after="60" w:line="220" w:lineRule="exact"/>
      <w:ind w:left="357" w:hanging="357"/>
    </w:pPr>
    <w:rPr>
      <w:rFonts w:ascii="Arial" w:hAnsi="Arial"/>
      <w:vanish/>
      <w:color w:val="008000"/>
      <w:sz w:val="16"/>
      <w:szCs w:val="16"/>
      <w:lang w:eastAsia="en-US"/>
    </w:rPr>
  </w:style>
  <w:style w:type="table" w:customStyle="1" w:styleId="NATSPECTable">
    <w:name w:val="NATSPEC Table"/>
    <w:basedOn w:val="TableNormal"/>
    <w:rsid w:val="00BB3C2D"/>
    <w:rPr>
      <w:rFonts w:ascii="Arial Narrow"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40" w:type="dxa"/>
        <w:bottom w:w="28" w:type="dxa"/>
        <w:right w:w="40" w:type="dxa"/>
      </w:tblCellMar>
    </w:tblPr>
  </w:style>
  <w:style w:type="character" w:styleId="PageNumber">
    <w:name w:val="page number"/>
    <w:rsid w:val="00BB3C2D"/>
  </w:style>
  <w:style w:type="paragraph" w:customStyle="1" w:styleId="Tableindent2">
    <w:name w:val="Table indent 2"/>
    <w:rsid w:val="00BB3C2D"/>
    <w:pPr>
      <w:numPr>
        <w:numId w:val="7"/>
      </w:numPr>
      <w:tabs>
        <w:tab w:val="left" w:pos="284"/>
      </w:tabs>
    </w:pPr>
    <w:rPr>
      <w:rFonts w:ascii="Arial" w:hAnsi="Arial"/>
      <w:lang w:eastAsia="en-US"/>
    </w:rPr>
  </w:style>
  <w:style w:type="paragraph" w:styleId="TOC1">
    <w:name w:val="toc 1"/>
    <w:basedOn w:val="Normal"/>
    <w:next w:val="Normal"/>
    <w:autoRedefine/>
    <w:semiHidden/>
    <w:rsid w:val="00BB3C2D"/>
    <w:pPr>
      <w:tabs>
        <w:tab w:val="clear" w:pos="3969"/>
      </w:tabs>
    </w:pPr>
    <w:rPr>
      <w:b/>
    </w:rPr>
  </w:style>
  <w:style w:type="paragraph" w:styleId="TOC2">
    <w:name w:val="toc 2"/>
    <w:basedOn w:val="Normal"/>
    <w:next w:val="Normal"/>
    <w:autoRedefine/>
    <w:semiHidden/>
    <w:rsid w:val="00BB3C2D"/>
    <w:pPr>
      <w:tabs>
        <w:tab w:val="clear" w:pos="3969"/>
      </w:tabs>
      <w:ind w:left="200"/>
    </w:pPr>
    <w:rPr>
      <w:b/>
    </w:rPr>
  </w:style>
  <w:style w:type="paragraph" w:customStyle="1" w:styleId="Instructionsindent2">
    <w:name w:val="Instructions indent 2"/>
    <w:rsid w:val="00BB3C2D"/>
    <w:pPr>
      <w:pBdr>
        <w:top w:val="single" w:sz="4" w:space="1" w:color="auto"/>
        <w:left w:val="single" w:sz="4" w:space="4" w:color="auto"/>
        <w:bottom w:val="single" w:sz="4" w:space="1" w:color="auto"/>
        <w:right w:val="single" w:sz="4" w:space="4" w:color="auto"/>
      </w:pBdr>
      <w:tabs>
        <w:tab w:val="left" w:pos="357"/>
        <w:tab w:val="left" w:pos="714"/>
      </w:tabs>
      <w:spacing w:after="60" w:line="220" w:lineRule="exact"/>
      <w:ind w:left="714" w:hanging="714"/>
    </w:pPr>
    <w:rPr>
      <w:rFonts w:ascii="Arial" w:hAnsi="Arial"/>
      <w:vanish/>
      <w:color w:val="008000"/>
      <w:sz w:val="16"/>
      <w:szCs w:val="16"/>
      <w:lang w:eastAsia="en-US"/>
    </w:rPr>
  </w:style>
  <w:style w:type="paragraph" w:customStyle="1" w:styleId="Prompt">
    <w:name w:val="Prompt"/>
    <w:basedOn w:val="Normal"/>
    <w:link w:val="PromptChar"/>
    <w:rsid w:val="00BB3C2D"/>
    <w:rPr>
      <w:color w:val="993300"/>
    </w:rPr>
  </w:style>
  <w:style w:type="paragraph" w:customStyle="1" w:styleId="Promptindent">
    <w:name w:val="Prompt indent"/>
    <w:basedOn w:val="NormalIndent"/>
    <w:rsid w:val="00BB3C2D"/>
    <w:pPr>
      <w:numPr>
        <w:numId w:val="9"/>
      </w:numPr>
    </w:pPr>
    <w:rPr>
      <w:color w:val="993300"/>
    </w:rPr>
  </w:style>
  <w:style w:type="paragraph" w:customStyle="1" w:styleId="Promptindent2">
    <w:name w:val="Prompt indent 2"/>
    <w:basedOn w:val="NormalIndent2"/>
    <w:rsid w:val="00BB3C2D"/>
    <w:pPr>
      <w:numPr>
        <w:numId w:val="10"/>
      </w:numPr>
    </w:pPr>
    <w:rPr>
      <w:color w:val="993300"/>
    </w:rPr>
  </w:style>
  <w:style w:type="paragraph" w:customStyle="1" w:styleId="Standard1">
    <w:name w:val="Standard 1"/>
    <w:rsid w:val="00BB3C2D"/>
    <w:pPr>
      <w:pBdr>
        <w:top w:val="single" w:sz="4" w:space="1" w:color="auto"/>
        <w:left w:val="single" w:sz="4" w:space="4" w:color="auto"/>
        <w:bottom w:val="single" w:sz="4" w:space="1" w:color="auto"/>
        <w:right w:val="single" w:sz="4" w:space="4" w:color="auto"/>
      </w:pBdr>
      <w:tabs>
        <w:tab w:val="left" w:pos="1985"/>
        <w:tab w:val="left" w:pos="2835"/>
      </w:tabs>
      <w:ind w:left="2835" w:hanging="2835"/>
    </w:pPr>
    <w:rPr>
      <w:rFonts w:ascii="Arial" w:hAnsi="Arial"/>
      <w:vanish/>
      <w:color w:val="008000"/>
      <w:sz w:val="16"/>
      <w:szCs w:val="16"/>
      <w:lang w:eastAsia="en-US"/>
    </w:rPr>
  </w:style>
  <w:style w:type="paragraph" w:customStyle="1" w:styleId="Standard2">
    <w:name w:val="Standard 2"/>
    <w:basedOn w:val="Standard1"/>
    <w:rsid w:val="00BB3C2D"/>
    <w:pPr>
      <w:tabs>
        <w:tab w:val="clear" w:pos="2835"/>
        <w:tab w:val="left" w:pos="3119"/>
      </w:tabs>
      <w:ind w:left="3119" w:hanging="3119"/>
    </w:pPr>
  </w:style>
  <w:style w:type="paragraph" w:customStyle="1" w:styleId="OptionalHeading3">
    <w:name w:val="Optional Heading 3"/>
    <w:basedOn w:val="Heading3"/>
    <w:qFormat/>
    <w:rsid w:val="00BB3C2D"/>
    <w:pPr>
      <w:numPr>
        <w:ilvl w:val="0"/>
        <w:numId w:val="0"/>
      </w:numPr>
      <w:shd w:val="clear" w:color="auto" w:fill="D9D9D9"/>
    </w:pPr>
    <w:rPr>
      <w:rFonts w:ascii="Calibri" w:hAnsi="Calibri"/>
      <w:vanish/>
      <w:color w:val="365F91"/>
    </w:rPr>
  </w:style>
  <w:style w:type="paragraph" w:customStyle="1" w:styleId="OptionalHeading4">
    <w:name w:val="Optional Heading 4"/>
    <w:basedOn w:val="Heading4"/>
    <w:qFormat/>
    <w:rsid w:val="00BB3C2D"/>
    <w:pPr>
      <w:shd w:val="clear" w:color="auto" w:fill="D9D9D9"/>
    </w:pPr>
    <w:rPr>
      <w:rFonts w:ascii="Calibri" w:hAnsi="Calibri"/>
      <w:vanish/>
      <w:color w:val="365F91"/>
    </w:rPr>
  </w:style>
  <w:style w:type="paragraph" w:customStyle="1" w:styleId="OptionalNormal">
    <w:name w:val="Optional Normal"/>
    <w:basedOn w:val="Normal"/>
    <w:qFormat/>
    <w:rsid w:val="00BB3C2D"/>
    <w:pPr>
      <w:shd w:val="clear" w:color="auto" w:fill="D9D9D9"/>
    </w:pPr>
    <w:rPr>
      <w:rFonts w:ascii="Calibri" w:hAnsi="Calibri"/>
      <w:vanish/>
      <w:color w:val="365F91"/>
    </w:rPr>
  </w:style>
  <w:style w:type="paragraph" w:customStyle="1" w:styleId="OptionalNormalIndent">
    <w:name w:val="Optional Normal Indent"/>
    <w:rsid w:val="00BB3C2D"/>
    <w:pPr>
      <w:numPr>
        <w:numId w:val="24"/>
      </w:numPr>
      <w:shd w:val="clear" w:color="auto" w:fill="D9D9D9"/>
      <w:tabs>
        <w:tab w:val="left" w:pos="210"/>
      </w:tabs>
      <w:spacing w:after="60"/>
    </w:pPr>
    <w:rPr>
      <w:rFonts w:ascii="Calibri" w:hAnsi="Calibri"/>
      <w:vanish/>
      <w:color w:val="365F91"/>
      <w:lang w:eastAsia="en-US"/>
    </w:rPr>
  </w:style>
  <w:style w:type="paragraph" w:customStyle="1" w:styleId="OptionalTabletext">
    <w:name w:val="Optional Table text"/>
    <w:basedOn w:val="Tabletext"/>
    <w:qFormat/>
    <w:rsid w:val="00BB3C2D"/>
    <w:pPr>
      <w:shd w:val="clear" w:color="auto" w:fill="D9D9D9"/>
    </w:pPr>
    <w:rPr>
      <w:rFonts w:ascii="Calibri" w:hAnsi="Calibri"/>
      <w:vanish/>
      <w:color w:val="365F91"/>
    </w:rPr>
  </w:style>
  <w:style w:type="paragraph" w:customStyle="1" w:styleId="OptionalTabletitle">
    <w:name w:val="Optional Table title"/>
    <w:basedOn w:val="Tabletitle"/>
    <w:qFormat/>
    <w:rsid w:val="00BB3C2D"/>
    <w:pPr>
      <w:shd w:val="clear" w:color="auto" w:fill="D9D9D9"/>
    </w:pPr>
    <w:rPr>
      <w:rFonts w:ascii="Calibri" w:hAnsi="Calibri"/>
      <w:vanish/>
      <w:color w:val="365F91"/>
    </w:rPr>
  </w:style>
  <w:style w:type="paragraph" w:customStyle="1" w:styleId="OptionalPromptindent">
    <w:name w:val="Optional Prompt indent"/>
    <w:basedOn w:val="Promptindent"/>
    <w:rsid w:val="00BB3C2D"/>
    <w:pPr>
      <w:numPr>
        <w:numId w:val="0"/>
      </w:numPr>
      <w:shd w:val="clear" w:color="auto" w:fill="D9D9D9"/>
    </w:pPr>
    <w:rPr>
      <w:rFonts w:ascii="Calibri" w:hAnsi="Calibri"/>
      <w:vanish/>
      <w:color w:val="17365D"/>
    </w:rPr>
  </w:style>
  <w:style w:type="paragraph" w:customStyle="1" w:styleId="OptionalNormalIndent2">
    <w:name w:val="Optional Normal Indent 2"/>
    <w:basedOn w:val="NormalIndent2"/>
    <w:qFormat/>
    <w:rsid w:val="00BB3C2D"/>
    <w:pPr>
      <w:numPr>
        <w:numId w:val="0"/>
      </w:numPr>
      <w:shd w:val="clear" w:color="auto" w:fill="D9D9D9"/>
      <w:tabs>
        <w:tab w:val="clear" w:pos="3969"/>
        <w:tab w:val="left" w:pos="210"/>
      </w:tabs>
    </w:pPr>
    <w:rPr>
      <w:rFonts w:ascii="Calibri" w:hAnsi="Calibri"/>
      <w:vanish/>
      <w:color w:val="365F95"/>
      <w:shd w:val="pct15" w:color="auto" w:fill="FFFFFF"/>
    </w:rPr>
  </w:style>
  <w:style w:type="paragraph" w:customStyle="1" w:styleId="InstructionsHeading4">
    <w:name w:val="Instructions Heading 4"/>
    <w:basedOn w:val="Instructions"/>
    <w:next w:val="Instructions"/>
    <w:qFormat/>
    <w:rsid w:val="005C3403"/>
    <w:rPr>
      <w:b/>
    </w:rPr>
  </w:style>
  <w:style w:type="character" w:customStyle="1" w:styleId="PromptChar">
    <w:name w:val="Prompt Char"/>
    <w:link w:val="Prompt"/>
    <w:rsid w:val="00B87EA6"/>
    <w:rPr>
      <w:rFonts w:ascii="Arial" w:hAnsi="Arial"/>
      <w:color w:val="993300"/>
      <w:lang w:eastAsia="en-US"/>
    </w:rPr>
  </w:style>
  <w:style w:type="character" w:styleId="PlaceholderText">
    <w:name w:val="Placeholder Text"/>
    <w:basedOn w:val="DefaultParagraphFont"/>
    <w:uiPriority w:val="99"/>
    <w:semiHidden/>
    <w:rsid w:val="000D2155"/>
    <w:rPr>
      <w:color w:val="808080"/>
    </w:rPr>
  </w:style>
  <w:style w:type="paragraph" w:styleId="BalloonText">
    <w:name w:val="Balloon Text"/>
    <w:basedOn w:val="Normal"/>
    <w:link w:val="BalloonTextChar"/>
    <w:rsid w:val="000D2155"/>
    <w:pPr>
      <w:spacing w:after="0"/>
    </w:pPr>
    <w:rPr>
      <w:rFonts w:ascii="Tahoma" w:hAnsi="Tahoma" w:cs="Tahoma"/>
      <w:sz w:val="16"/>
      <w:szCs w:val="16"/>
    </w:rPr>
  </w:style>
  <w:style w:type="character" w:customStyle="1" w:styleId="BalloonTextChar">
    <w:name w:val="Balloon Text Char"/>
    <w:basedOn w:val="DefaultParagraphFont"/>
    <w:link w:val="BalloonText"/>
    <w:rsid w:val="000D2155"/>
    <w:rPr>
      <w:rFonts w:ascii="Tahoma" w:eastAsiaTheme="minorHAnsi" w:hAnsi="Tahoma" w:cs="Tahoma"/>
      <w:sz w:val="16"/>
      <w:szCs w:val="16"/>
      <w:lang w:eastAsia="en-US"/>
    </w:rPr>
  </w:style>
  <w:style w:type="table" w:customStyle="1" w:styleId="Table-Item">
    <w:name w:val="Table-Item"/>
    <w:uiPriority w:val="99"/>
    <w:rsid w:val="006A05B6"/>
    <w:rPr>
      <w:rFonts w:asciiTheme="minorHAnsi" w:eastAsiaTheme="minorEastAsia" w:hAnsiTheme="minorHAnsi" w:cstheme="minorBidi"/>
      <w:lang w:eastAsia="zh-CN"/>
    </w:rPr>
    <w:tblPr>
      <w:tblInd w:w="0" w:type="dxa"/>
      <w:tblCellMar>
        <w:top w:w="0" w:type="dxa"/>
        <w:left w:w="108" w:type="dxa"/>
        <w:bottom w:w="0" w:type="dxa"/>
        <w:right w:w="108" w:type="dxa"/>
      </w:tblCellMar>
    </w:tblPr>
    <w:tblStylePr w:type="firstRow">
      <w:tblPr/>
      <w:tcPr>
        <w:shd w:val="clear" w:color="auto" w:fill="D9D9D9" w:themeFill="background1" w:themeFillShade="D9"/>
      </w:tcPr>
    </w:tblStylePr>
    <w:tblStylePr w:type="nwCell">
      <w:tblPr/>
      <w:tcPr>
        <w:tcBorders>
          <w:top w:val="nil"/>
          <w:left w:val="nil"/>
          <w:bottom w:val="nil"/>
          <w:right w:val="nil"/>
          <w:insideH w:val="nil"/>
          <w:insideV w:val="nil"/>
          <w:tl2br w:val="nil"/>
          <w:tr2bl w:val="nil"/>
        </w:tcBorders>
      </w:tcPr>
    </w:tblStylePr>
  </w:style>
  <w:style w:type="table" w:customStyle="1" w:styleId="lightgrey">
    <w:name w:val="light grey"/>
    <w:basedOn w:val="LightShading"/>
    <w:uiPriority w:val="99"/>
    <w:rsid w:val="006A05B6"/>
    <w:rPr>
      <w:lang w:val="en-US"/>
    </w:rP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6A05B6"/>
    <w:rPr>
      <w:rFonts w:asciiTheme="minorHAnsi" w:eastAsiaTheme="minorHAnsi" w:hAnsiTheme="minorHAnsi" w:cstheme="minorBid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Yellow">
    <w:name w:val="tableYellow"/>
    <w:basedOn w:val="TableNormal"/>
    <w:uiPriority w:val="99"/>
    <w:rsid w:val="006A05B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99"/>
    </w:tcPr>
    <w:tblStylePr w:type="firstRow">
      <w:tblPr/>
      <w:tcPr>
        <w:shd w:val="clear" w:color="auto" w:fill="FFCC00"/>
      </w:tcPr>
    </w:tblStylePr>
  </w:style>
  <w:style w:type="table" w:customStyle="1" w:styleId="olasummarytable">
    <w:name w:val="ola_summary_table"/>
    <w:basedOn w:val="TableNormal"/>
    <w:uiPriority w:val="99"/>
    <w:rsid w:val="006A05B6"/>
    <w:rPr>
      <w:rFonts w:asciiTheme="minorHAnsi" w:eastAsiaTheme="minorHAnsi" w:hAnsiTheme="minorHAnsi" w:cstheme="minorBidi"/>
      <w:sz w:val="22"/>
      <w:szCs w:val="22"/>
      <w:lang w:eastAsia="en-US"/>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shd w:val="clear" w:color="auto" w:fill="9CE1F7"/>
    </w:tcPr>
  </w:style>
  <w:style w:type="paragraph" w:customStyle="1" w:styleId="ScheduleL2">
    <w:name w:val="Schedule L2"/>
    <w:basedOn w:val="Normal"/>
    <w:next w:val="Normal"/>
    <w:rsid w:val="006A05B6"/>
    <w:pPr>
      <w:keepNext/>
      <w:numPr>
        <w:ilvl w:val="1"/>
        <w:numId w:val="36"/>
      </w:numPr>
      <w:spacing w:before="280" w:after="140" w:line="280" w:lineRule="atLeast"/>
      <w:outlineLvl w:val="1"/>
    </w:pPr>
    <w:rPr>
      <w:spacing w:val="-10"/>
      <w:w w:val="95"/>
      <w:sz w:val="32"/>
      <w:lang w:eastAsia="zh-CN"/>
    </w:rPr>
  </w:style>
  <w:style w:type="numbering" w:customStyle="1" w:styleId="Clause">
    <w:name w:val="Clause"/>
    <w:uiPriority w:val="99"/>
    <w:rsid w:val="006A05B6"/>
    <w:pPr>
      <w:numPr>
        <w:numId w:val="34"/>
      </w:numPr>
    </w:pPr>
  </w:style>
  <w:style w:type="paragraph" w:customStyle="1" w:styleId="DefinitionL1">
    <w:name w:val="Definition L1"/>
    <w:basedOn w:val="Normal"/>
    <w:next w:val="Normal"/>
    <w:rsid w:val="006A05B6"/>
    <w:pPr>
      <w:numPr>
        <w:numId w:val="35"/>
      </w:numPr>
      <w:spacing w:after="140" w:line="280" w:lineRule="atLeast"/>
      <w:outlineLvl w:val="0"/>
    </w:pPr>
    <w:rPr>
      <w:rFonts w:ascii="Times New Roman" w:hAnsi="Times New Roman"/>
      <w:lang w:eastAsia="zh-CN"/>
    </w:rPr>
  </w:style>
  <w:style w:type="paragraph" w:customStyle="1" w:styleId="DefinitionL2">
    <w:name w:val="Definition L2"/>
    <w:basedOn w:val="Normal"/>
    <w:next w:val="Normal"/>
    <w:rsid w:val="006A05B6"/>
    <w:pPr>
      <w:numPr>
        <w:ilvl w:val="1"/>
        <w:numId w:val="35"/>
      </w:numPr>
      <w:spacing w:after="140" w:line="280" w:lineRule="atLeast"/>
      <w:outlineLvl w:val="1"/>
    </w:pPr>
    <w:rPr>
      <w:rFonts w:ascii="Times New Roman" w:hAnsi="Times New Roman"/>
      <w:lang w:eastAsia="zh-CN"/>
    </w:rPr>
  </w:style>
  <w:style w:type="paragraph" w:customStyle="1" w:styleId="DefinitionL3">
    <w:name w:val="Definition L3"/>
    <w:basedOn w:val="Normal"/>
    <w:next w:val="Normal"/>
    <w:rsid w:val="006A05B6"/>
    <w:pPr>
      <w:numPr>
        <w:ilvl w:val="2"/>
        <w:numId w:val="35"/>
      </w:numPr>
      <w:spacing w:after="140" w:line="280" w:lineRule="atLeast"/>
      <w:outlineLvl w:val="2"/>
    </w:pPr>
    <w:rPr>
      <w:rFonts w:ascii="Times New Roman" w:hAnsi="Times New Roman"/>
      <w:lang w:eastAsia="zh-CN"/>
    </w:rPr>
  </w:style>
  <w:style w:type="paragraph" w:customStyle="1" w:styleId="DefinitionL4">
    <w:name w:val="Definition L4"/>
    <w:basedOn w:val="Normal"/>
    <w:next w:val="Normal"/>
    <w:rsid w:val="006A05B6"/>
    <w:pPr>
      <w:numPr>
        <w:ilvl w:val="3"/>
        <w:numId w:val="35"/>
      </w:numPr>
      <w:spacing w:after="140" w:line="280" w:lineRule="atLeast"/>
      <w:outlineLvl w:val="3"/>
    </w:pPr>
    <w:rPr>
      <w:rFonts w:ascii="Times New Roman" w:hAnsi="Times New Roman"/>
      <w:lang w:eastAsia="zh-CN"/>
    </w:rPr>
  </w:style>
  <w:style w:type="numbering" w:customStyle="1" w:styleId="Schedule">
    <w:name w:val="Schedule"/>
    <w:uiPriority w:val="99"/>
    <w:rsid w:val="006A05B6"/>
    <w:pPr>
      <w:numPr>
        <w:numId w:val="36"/>
      </w:numPr>
    </w:pPr>
  </w:style>
  <w:style w:type="numbering" w:customStyle="1" w:styleId="Warranty">
    <w:name w:val="Warranty"/>
    <w:uiPriority w:val="99"/>
    <w:rsid w:val="006A05B6"/>
    <w:pPr>
      <w:numPr>
        <w:numId w:val="37"/>
      </w:numPr>
    </w:pPr>
  </w:style>
  <w:style w:type="numbering" w:customStyle="1" w:styleId="headinglist">
    <w:name w:val="heading list"/>
    <w:uiPriority w:val="99"/>
    <w:rsid w:val="006A05B6"/>
    <w:pPr>
      <w:numPr>
        <w:numId w:val="38"/>
      </w:numPr>
    </w:pPr>
  </w:style>
  <w:style w:type="numbering" w:customStyle="1" w:styleId="indexlist">
    <w:name w:val="index list"/>
    <w:uiPriority w:val="99"/>
    <w:rsid w:val="006A05B6"/>
    <w:pPr>
      <w:numPr>
        <w:numId w:val="39"/>
      </w:numPr>
    </w:pPr>
  </w:style>
  <w:style w:type="numbering" w:customStyle="1" w:styleId="unumberedlist">
    <w:name w:val="unumbered list"/>
    <w:uiPriority w:val="99"/>
    <w:rsid w:val="006A05B6"/>
    <w:pPr>
      <w:numPr>
        <w:numId w:val="40"/>
      </w:numPr>
    </w:pPr>
  </w:style>
  <w:style w:type="character" w:customStyle="1" w:styleId="delete">
    <w:name w:val="delete"/>
    <w:basedOn w:val="DefaultParagraphFont"/>
    <w:uiPriority w:val="1"/>
    <w:qFormat/>
    <w:rsid w:val="004463CE"/>
    <w:rPr>
      <w:bdr w:val="none" w:sz="0" w:space="0" w:color="auto"/>
      <w:shd w:val="clear" w:color="auto" w:fill="FFFF00"/>
    </w:rPr>
  </w:style>
  <w:style w:type="character" w:customStyle="1" w:styleId="insert">
    <w:name w:val="insert"/>
    <w:basedOn w:val="DefaultParagraphFont"/>
    <w:uiPriority w:val="1"/>
    <w:qFormat/>
    <w:rsid w:val="004463CE"/>
    <w:rPr>
      <w:bdr w:val="none" w:sz="0" w:space="0" w:color="auto"/>
      <w:shd w:val="clear" w:color="auto" w:fill="FFFF00"/>
    </w:rPr>
  </w:style>
  <w:style w:type="table" w:styleId="TableGrid">
    <w:name w:val="Table Grid"/>
    <w:basedOn w:val="TableNormal"/>
    <w:rsid w:val="00367F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mptytable">
    <w:name w:val="Empty table"/>
    <w:basedOn w:val="TableNormal"/>
    <w:uiPriority w:val="99"/>
    <w:rsid w:val="00AD0420"/>
    <w:tblPr/>
  </w:style>
  <w:style w:type="paragraph" w:customStyle="1" w:styleId="TableStart">
    <w:name w:val="Table Start"/>
    <w:basedOn w:val="Normal"/>
    <w:qFormat/>
    <w:rsid w:val="00E60190"/>
  </w:style>
  <w:style w:type="paragraph" w:customStyle="1" w:styleId="TableEnd">
    <w:name w:val="Table End"/>
    <w:basedOn w:val="Normal"/>
    <w:qFormat/>
    <w:rsid w:val="00E60190"/>
  </w:style>
  <w:style w:type="paragraph" w:customStyle="1" w:styleId="AUSStandard1">
    <w:name w:val="AUS Standard 1"/>
    <w:basedOn w:val="Standard1"/>
    <w:rsid w:val="00BB3C2D"/>
    <w:pPr>
      <w:pBdr>
        <w:top w:val="none" w:sz="0" w:space="0" w:color="auto"/>
        <w:left w:val="none" w:sz="0" w:space="0" w:color="auto"/>
        <w:bottom w:val="none" w:sz="0" w:space="0" w:color="auto"/>
        <w:right w:val="none" w:sz="0" w:space="0" w:color="auto"/>
      </w:pBdr>
      <w:tabs>
        <w:tab w:val="clear" w:pos="1985"/>
        <w:tab w:val="clear" w:pos="2835"/>
        <w:tab w:val="left" w:pos="2552"/>
        <w:tab w:val="left" w:pos="3402"/>
      </w:tabs>
      <w:ind w:left="3402" w:hanging="3402"/>
    </w:pPr>
    <w:rPr>
      <w:vanish w:val="0"/>
      <w:color w:val="auto"/>
      <w:sz w:val="20"/>
    </w:rPr>
  </w:style>
  <w:style w:type="paragraph" w:customStyle="1" w:styleId="AUSStandard2">
    <w:name w:val="AUS Standard 2"/>
    <w:basedOn w:val="Standard2"/>
    <w:rsid w:val="00BB3C2D"/>
    <w:pPr>
      <w:pBdr>
        <w:top w:val="none" w:sz="0" w:space="0" w:color="auto"/>
        <w:left w:val="none" w:sz="0" w:space="0" w:color="auto"/>
        <w:bottom w:val="none" w:sz="0" w:space="0" w:color="auto"/>
        <w:right w:val="none" w:sz="0" w:space="0" w:color="auto"/>
      </w:pBdr>
      <w:tabs>
        <w:tab w:val="clear" w:pos="1985"/>
        <w:tab w:val="clear" w:pos="3119"/>
        <w:tab w:val="left" w:pos="2552"/>
        <w:tab w:val="left" w:pos="3686"/>
      </w:tabs>
      <w:ind w:left="3686" w:hanging="3686"/>
    </w:pPr>
    <w:rPr>
      <w:vanish w:val="0"/>
      <w:color w:val="auto"/>
      <w:sz w:val="20"/>
    </w:rPr>
  </w:style>
  <w:style w:type="paragraph" w:customStyle="1" w:styleId="External">
    <w:name w:val="External"/>
    <w:basedOn w:val="Normal"/>
    <w:qFormat/>
    <w:rsid w:val="008D68B9"/>
    <w:pPr>
      <w:shd w:val="clear" w:color="auto" w:fill="E5DFEC"/>
    </w:pPr>
    <w:rPr>
      <w:rFonts w:ascii="Cambria" w:hAnsi="Cambria"/>
      <w:color w:val="5F497A"/>
    </w:rPr>
  </w:style>
  <w:style w:type="paragraph" w:customStyle="1" w:styleId="Externalguidance">
    <w:name w:val="External guidance"/>
    <w:basedOn w:val="External"/>
    <w:qFormat/>
    <w:rsid w:val="008D68B9"/>
    <w:pPr>
      <w:pBdr>
        <w:top w:val="single" w:sz="4" w:space="1" w:color="auto"/>
        <w:left w:val="single" w:sz="4" w:space="4" w:color="auto"/>
        <w:bottom w:val="single" w:sz="4" w:space="1" w:color="auto"/>
        <w:right w:val="single" w:sz="4" w:space="4" w:color="auto"/>
      </w:pBdr>
    </w:pPr>
  </w:style>
  <w:style w:type="paragraph" w:customStyle="1" w:styleId="Externalheading4">
    <w:name w:val="External heading 4"/>
    <w:basedOn w:val="External"/>
    <w:qFormat/>
    <w:rsid w:val="008D68B9"/>
    <w:rPr>
      <w:b/>
      <w:bCs/>
    </w:rPr>
  </w:style>
  <w:style w:type="paragraph" w:customStyle="1" w:styleId="Externalindent">
    <w:name w:val="External indent"/>
    <w:basedOn w:val="External"/>
    <w:qFormat/>
    <w:rsid w:val="008D68B9"/>
    <w:pPr>
      <w:numPr>
        <w:numId w:val="41"/>
      </w:numPr>
    </w:pPr>
  </w:style>
  <w:style w:type="paragraph" w:customStyle="1" w:styleId="Externalindent2">
    <w:name w:val="External indent 2"/>
    <w:basedOn w:val="Externalindent"/>
    <w:qFormat/>
    <w:rsid w:val="00147FF6"/>
    <w:pPr>
      <w:ind w:left="641" w:hanging="357"/>
    </w:pPr>
  </w:style>
  <w:style w:type="paragraph" w:customStyle="1" w:styleId="Externalpromptindent">
    <w:name w:val="External prompt indent"/>
    <w:basedOn w:val="Promptindent"/>
    <w:qFormat/>
    <w:rsid w:val="003806E9"/>
    <w:pPr>
      <w:shd w:val="clear" w:color="auto" w:fill="E5DFEC" w:themeFill="accent4" w:themeFillTint="33"/>
    </w:pPr>
    <w:rPr>
      <w:color w:val="5F497A" w:themeColor="accent4" w:themeShade="BF"/>
    </w:rPr>
  </w:style>
  <w:style w:type="paragraph" w:customStyle="1" w:styleId="Externalprompt">
    <w:name w:val="External prompt"/>
    <w:basedOn w:val="Prompt"/>
    <w:link w:val="ExternalpromptChar"/>
    <w:qFormat/>
    <w:rsid w:val="003806E9"/>
    <w:pPr>
      <w:shd w:val="clear" w:color="auto" w:fill="E5DFEC" w:themeFill="accent4" w:themeFillTint="33"/>
    </w:pPr>
    <w:rPr>
      <w:color w:val="5F497A" w:themeColor="accent4" w:themeShade="BF"/>
    </w:rPr>
  </w:style>
  <w:style w:type="character" w:customStyle="1" w:styleId="ExternalpromptChar">
    <w:name w:val="External prompt Char"/>
    <w:basedOn w:val="PromptChar"/>
    <w:link w:val="Externalprompt"/>
    <w:rsid w:val="003806E9"/>
    <w:rPr>
      <w:rFonts w:ascii="Arial" w:hAnsi="Arial"/>
      <w:color w:val="5F497A" w:themeColor="accent4" w:themeShade="BF"/>
      <w:shd w:val="clear" w:color="auto" w:fill="E5DFEC" w:themeFill="accent4" w:themeFillTint="33"/>
      <w:lang w:eastAsia="en-US"/>
    </w:rPr>
  </w:style>
  <w:style w:type="paragraph" w:customStyle="1" w:styleId="Externalpromptindent2">
    <w:name w:val="External prompt indent 2"/>
    <w:basedOn w:val="Promptindent2"/>
    <w:qFormat/>
    <w:rsid w:val="003806E9"/>
    <w:pPr>
      <w:shd w:val="clear" w:color="auto" w:fill="E5DFEC" w:themeFill="accent4" w:themeFillTint="33"/>
    </w:pPr>
    <w:rPr>
      <w:color w:val="5F497A" w:themeColor="accent4" w:themeShade="BF"/>
    </w:rPr>
  </w:style>
  <w:style w:type="character" w:styleId="ps_inl_NSPrompt">
    <w:name w:val="ps_inl_NSPrompt"/>
    <w:basedOn w:val="Normal"/>
    <w:rPr>
      <w:bdr w:val="single" w:sz="4" w:space="0" w:color="D99594" w:themeColor="accent2" w:themeTint="99"/>
    </w:rPr>
  </w:style>
  <w:style w:type="character" w:styleId="ps_inl_NStab">
    <w:name w:val="ps_inl_NStab"/>
    <w:basedOn w:val="Normal"/>
    <w:rPr>
      <w:bdr w:val="single" w:sz="4" w:space="0" w:color="D99594" w:themeColor="accent2" w:themeTint="99"/>
    </w:rPr>
  </w:style>
  <w:style w:type="paragraph" w:styleId="ps_blk_reference">
    <w:name w:val="ps_blk_reference"/>
    <w:basedOn w:val="Normal"/>
    <w:pPr>
      <w:pBdr>
        <w:top w:val="single" w:sz="4" w:space="1" w:color="8DB3E2" w:themeColor="text2" w:themeTint="66"/>
        <w:left w:val="single" w:sz="4" w:space="4" w:color="8DB3E2" w:themeColor="text2" w:themeTint="66"/>
        <w:bottom w:val="single" w:sz="4" w:space="1" w:color="8DB3E2" w:themeColor="text2" w:themeTint="66"/>
        <w:right w:val="single" w:sz="4" w:space="4" w:color="8DB3E2" w:themeColor="text2" w:themeTint="66"/>
      </w:pBd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settings.xml.rels><?xml version="1.0" encoding="UTF-8" standalone="yes"?><Relationships xmlns="http://schemas.openxmlformats.org/package/2006/relationships"><Relationship Id="rId1" Type="http://schemas.openxmlformats.org/officeDocument/2006/relationships/attachedTemplate" Target="file:///C:\Users\adrian\Downloads\natspec.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docParts>
    <w:docPart>
      <w:docPartPr>
        <w:name w:val="31BECDE4F6EA497FB26583C3D3546F63"/>
        <w:category>
          <w:name w:val="General"/>
          <w:gallery w:val="placeholder"/>
        </w:category>
        <w:types>
          <w:type w:val="bbPlcHdr"/>
        </w:types>
        <w:behaviors>
          <w:behavior w:val="content"/>
        </w:behaviors>
        <w:guid w:val="{54F6FF40-1C9E-429A-BEED-B72786BB63DF}"/>
      </w:docPartPr>
      <w:docPartBody>
        <w:p w:rsidR="00E862B3" w:rsidRDefault="00925E69">
          <w:r w:rsidRPr="00D90C48">
            <w:rPr>
              <w:rStyle w:val="PlaceholderText"/>
            </w:rPr>
            <w:t>[Category]</w:t>
          </w:r>
        </w:p>
      </w:docPartBody>
    </w:docPart>
    <w:docPart>
      <w:docPartPr>
        <w:name w:val="51F9EEBBD2D0489D9B33E0E90B72CD55"/>
        <w:category>
          <w:name w:val="General"/>
          <w:gallery w:val="placeholder"/>
        </w:category>
        <w:types>
          <w:type w:val="bbPlcHdr"/>
        </w:types>
        <w:behaviors>
          <w:behavior w:val="content"/>
        </w:behaviors>
        <w:guid w:val="{DF21B762-E6BE-47A5-802E-C31FB5007A76}"/>
      </w:docPartPr>
      <w:docPartBody>
        <w:p w:rsidR="00B35BAE" w:rsidRDefault="00025310">
          <w:r w:rsidRPr="00B64533">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http://schemas.openxmlformats.org/officeDocument/2006/math" xmlns:mc="http://schemas.openxmlformats.org/markup-compatibility/2006"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25E69"/>
    <w:rsid w:val="00025310"/>
    <w:rsid w:val="000960B6"/>
    <w:rsid w:val="002376A7"/>
    <w:rsid w:val="00323590"/>
    <w:rsid w:val="004744FA"/>
    <w:rsid w:val="0050677F"/>
    <w:rsid w:val="005D61DE"/>
    <w:rsid w:val="00612502"/>
    <w:rsid w:val="00634E37"/>
    <w:rsid w:val="006F45E4"/>
    <w:rsid w:val="00852C26"/>
    <w:rsid w:val="008E193B"/>
    <w:rsid w:val="00925E69"/>
    <w:rsid w:val="00933870"/>
    <w:rsid w:val="00971462"/>
    <w:rsid w:val="00A7620C"/>
    <w:rsid w:val="00B35BAE"/>
    <w:rsid w:val="00C21B33"/>
    <w:rsid w:val="00C2262B"/>
    <w:rsid w:val="00C643B6"/>
    <w:rsid w:val="00C77804"/>
    <w:rsid w:val="00CA2380"/>
    <w:rsid w:val="00DB145A"/>
    <w:rsid w:val="00E862B3"/>
    <w:rsid w:val="00F55D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5E69"/>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2531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natspec.dotm</Template>
  <TotalTime>46</TotalTime>
  <Pages>14</Pages>
  <Words>5381</Words>
  <Characters>30672</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NATSPEC Template File</vt:lpstr>
    </vt:vector>
  </TitlesOfParts>
  <Company>Construction Information Systems Australia Pty Ltd</Company>
  <LinksUpToDate>false</LinksUpToDate>
  <CharactersWithSpaces>35982</CharactersWithSpaces>
  <SharedDoc>false</SharedDoc>
  <HLinks>
    <vt:vector size="12" baseType="variant">
      <vt:variant>
        <vt:i4>2687099</vt:i4>
      </vt:variant>
      <vt:variant>
        <vt:i4>3</vt:i4>
      </vt:variant>
      <vt:variant>
        <vt:i4>0</vt:i4>
      </vt:variant>
      <vt:variant>
        <vt:i4>5</vt:i4>
      </vt:variant>
      <vt:variant>
        <vt:lpwstr>http://acumen.architecture.com.au/</vt:lpwstr>
      </vt:variant>
      <vt:variant>
        <vt:lpwstr/>
      </vt:variant>
      <vt:variant>
        <vt:i4>6422589</vt:i4>
      </vt:variant>
      <vt:variant>
        <vt:i4>0</vt:i4>
      </vt:variant>
      <vt:variant>
        <vt:i4>0</vt:i4>
      </vt:variant>
      <vt:variant>
        <vt:i4>5</vt:i4>
      </vt:variant>
      <vt:variant>
        <vt:lpwstr>http://www.natspec.com.au/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dc:description xmlns:dc="http://purl.org/dc/elements/1.1/">Document generated by PageSeeder.</dc:description>
  <dc:subject xmlns:dc="http://purl.org/dc/elements/1.1/">Oct 24</dc:subject>
  <dc:title xmlns:dc="http://purl.org/dc/elements/1.1/">0341p FIELDERS SlimFlor in structural steelwork.docx</dc:title>
  <cp:category>03 STRUCTURE</cp:category>
</cp:coreProperties>
</file>